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E4" w:rsidRDefault="00EA11E4" w:rsidP="0017226E">
      <w:pPr>
        <w:pStyle w:val="FootnoteText"/>
        <w:rPr>
          <w:sz w:val="24"/>
          <w:szCs w:val="24"/>
          <w:lang w:val="en-GB"/>
        </w:rPr>
      </w:pPr>
      <w:r>
        <w:rPr>
          <w:sz w:val="24"/>
          <w:szCs w:val="24"/>
          <w:lang w:val="en-GB"/>
        </w:rPr>
        <w:t>NOT TO BE QUOTED PLEASE: STILL SUBJECT TO REVISION</w:t>
      </w:r>
    </w:p>
    <w:p w:rsidR="00EA11E4" w:rsidRDefault="00EA11E4" w:rsidP="0017226E">
      <w:pPr>
        <w:pStyle w:val="FootnoteText"/>
        <w:rPr>
          <w:sz w:val="24"/>
          <w:szCs w:val="24"/>
          <w:lang w:val="en-GB"/>
        </w:rPr>
      </w:pPr>
    </w:p>
    <w:p w:rsidR="0017226E" w:rsidRDefault="0017226E" w:rsidP="0017226E">
      <w:pPr>
        <w:pStyle w:val="FootnoteText"/>
        <w:rPr>
          <w:sz w:val="24"/>
          <w:szCs w:val="24"/>
          <w:lang w:val="en-GB"/>
        </w:rPr>
      </w:pPr>
      <w:r w:rsidRPr="000428D8">
        <w:rPr>
          <w:sz w:val="24"/>
          <w:szCs w:val="24"/>
          <w:lang w:val="en-GB"/>
        </w:rPr>
        <w:t xml:space="preserve">1.31. </w:t>
      </w:r>
      <w:r w:rsidRPr="000428D8">
        <w:rPr>
          <w:b/>
          <w:sz w:val="24"/>
          <w:szCs w:val="24"/>
          <w:lang w:val="en-GB"/>
        </w:rPr>
        <w:t>Incidental benefits.</w:t>
      </w:r>
      <w:r w:rsidRPr="000428D8">
        <w:rPr>
          <w:sz w:val="24"/>
          <w:szCs w:val="24"/>
          <w:lang w:val="en-GB"/>
        </w:rPr>
        <w:t xml:space="preserve"> Many cases hold that</w:t>
      </w:r>
      <w:r>
        <w:rPr>
          <w:sz w:val="24"/>
          <w:szCs w:val="24"/>
          <w:lang w:val="en-GB"/>
        </w:rPr>
        <w:t xml:space="preserve"> an enrichment claim </w:t>
      </w:r>
      <w:r w:rsidRPr="000428D8">
        <w:rPr>
          <w:sz w:val="24"/>
          <w:szCs w:val="24"/>
          <w:lang w:val="en-GB"/>
        </w:rPr>
        <w:t xml:space="preserve">does not lie where the defender’s enrichment is merely an “incidental”, “occasional” or “consequential” benefit </w:t>
      </w:r>
      <w:r w:rsidRPr="003B2686">
        <w:rPr>
          <w:sz w:val="24"/>
          <w:szCs w:val="24"/>
          <w:lang w:val="en-GB"/>
        </w:rPr>
        <w:t>arising from the pursuer’s</w:t>
      </w:r>
      <w:r>
        <w:rPr>
          <w:sz w:val="24"/>
          <w:szCs w:val="24"/>
          <w:lang w:val="en-GB"/>
        </w:rPr>
        <w:t xml:space="preserve"> </w:t>
      </w:r>
      <w:proofErr w:type="spellStart"/>
      <w:r w:rsidRPr="003B2686">
        <w:rPr>
          <w:sz w:val="24"/>
          <w:szCs w:val="24"/>
          <w:lang w:val="en-GB"/>
        </w:rPr>
        <w:t>actings</w:t>
      </w:r>
      <w:proofErr w:type="spellEnd"/>
      <w:r w:rsidRPr="003B2686">
        <w:rPr>
          <w:sz w:val="24"/>
          <w:szCs w:val="24"/>
          <w:lang w:val="en-GB"/>
        </w:rPr>
        <w:t>.  Indeed reliance on this control device is a rather distinctive feature which Scots enrichment law emphasises more than many other systems do</w:t>
      </w:r>
      <w:r>
        <w:rPr>
          <w:rStyle w:val="FootnoteReference"/>
          <w:sz w:val="24"/>
          <w:szCs w:val="24"/>
          <w:lang w:val="en-GB"/>
        </w:rPr>
        <w:footnoteReference w:id="1"/>
      </w:r>
      <w:r w:rsidRPr="003B2686">
        <w:rPr>
          <w:sz w:val="24"/>
          <w:szCs w:val="24"/>
          <w:lang w:val="en-GB"/>
        </w:rPr>
        <w:t xml:space="preserve">. </w:t>
      </w:r>
      <w:r w:rsidRPr="00A32223">
        <w:rPr>
          <w:sz w:val="24"/>
          <w:szCs w:val="24"/>
          <w:lang w:val="en-GB"/>
        </w:rPr>
        <w:t xml:space="preserve">The following sources exemplify the point. In a leading early case </w:t>
      </w:r>
      <w:r w:rsidRPr="00A32223">
        <w:rPr>
          <w:i/>
          <w:sz w:val="24"/>
          <w:szCs w:val="24"/>
          <w:lang w:val="en-GB"/>
        </w:rPr>
        <w:t xml:space="preserve">Burns v </w:t>
      </w:r>
      <w:proofErr w:type="spellStart"/>
      <w:r w:rsidRPr="00A32223">
        <w:rPr>
          <w:i/>
          <w:sz w:val="24"/>
          <w:szCs w:val="24"/>
          <w:lang w:val="en-GB"/>
        </w:rPr>
        <w:t>McLellan's</w:t>
      </w:r>
      <w:proofErr w:type="spellEnd"/>
      <w:r w:rsidRPr="00A32223">
        <w:rPr>
          <w:i/>
          <w:sz w:val="24"/>
          <w:szCs w:val="24"/>
          <w:lang w:val="en-GB"/>
        </w:rPr>
        <w:t xml:space="preserve"> Creditors</w:t>
      </w:r>
      <w:r w:rsidRPr="00A32223">
        <w:rPr>
          <w:sz w:val="24"/>
          <w:szCs w:val="24"/>
          <w:lang w:val="en-GB"/>
        </w:rPr>
        <w:t>;</w:t>
      </w:r>
      <w:r w:rsidRPr="00A32223">
        <w:rPr>
          <w:rStyle w:val="FootnoteReference"/>
          <w:rFonts w:eastAsiaTheme="majorEastAsia"/>
          <w:sz w:val="24"/>
          <w:szCs w:val="24"/>
          <w:lang w:val="en-GB"/>
        </w:rPr>
        <w:footnoteReference w:id="2"/>
      </w:r>
      <w:r w:rsidRPr="00A32223">
        <w:rPr>
          <w:sz w:val="24"/>
          <w:szCs w:val="24"/>
          <w:lang w:val="en-GB"/>
        </w:rPr>
        <w:t xml:space="preserve"> the Court of Session held: “No law subjects a man to recompense or remuneration who reaps an occasional or consequential benefit from the deed of another done with no view to his interest”.</w:t>
      </w:r>
      <w:r>
        <w:rPr>
          <w:sz w:val="24"/>
          <w:szCs w:val="24"/>
          <w:lang w:val="en-GB"/>
        </w:rPr>
        <w:t xml:space="preserve"> </w:t>
      </w:r>
      <w:r w:rsidRPr="00A32223">
        <w:rPr>
          <w:sz w:val="24"/>
          <w:szCs w:val="24"/>
          <w:lang w:val="en-GB"/>
        </w:rPr>
        <w:t>Hume</w:t>
      </w:r>
      <w:r>
        <w:rPr>
          <w:sz w:val="24"/>
          <w:szCs w:val="24"/>
          <w:lang w:val="en-GB"/>
        </w:rPr>
        <w:t xml:space="preserve"> </w:t>
      </w:r>
      <w:r w:rsidRPr="00A32223">
        <w:rPr>
          <w:sz w:val="24"/>
          <w:szCs w:val="24"/>
          <w:lang w:val="en-GB"/>
        </w:rPr>
        <w:t xml:space="preserve">in his </w:t>
      </w:r>
      <w:r w:rsidRPr="00A32223">
        <w:rPr>
          <w:i/>
          <w:iCs/>
          <w:sz w:val="24"/>
          <w:szCs w:val="24"/>
          <w:lang w:val="en-GB"/>
        </w:rPr>
        <w:t>Lectures</w:t>
      </w:r>
      <w:r w:rsidRPr="00A32223">
        <w:rPr>
          <w:sz w:val="24"/>
          <w:szCs w:val="24"/>
          <w:lang w:val="en-GB"/>
        </w:rPr>
        <w:t>:</w:t>
      </w:r>
      <w:r w:rsidRPr="00A32223">
        <w:rPr>
          <w:rStyle w:val="FootnoteReference"/>
          <w:rFonts w:eastAsiaTheme="majorEastAsia"/>
          <w:sz w:val="24"/>
          <w:szCs w:val="24"/>
          <w:lang w:val="en-GB"/>
        </w:rPr>
        <w:footnoteReference w:id="3"/>
      </w:r>
      <w:r w:rsidRPr="00A32223">
        <w:rPr>
          <w:sz w:val="24"/>
          <w:szCs w:val="24"/>
          <w:lang w:val="en-GB"/>
        </w:rPr>
        <w:t xml:space="preserve"> gave two graphic examples of irrecoverable incidental benefits, namely t</w:t>
      </w:r>
      <w:r>
        <w:rPr>
          <w:sz w:val="24"/>
          <w:szCs w:val="24"/>
          <w:lang w:val="en-GB"/>
        </w:rPr>
        <w:t>h</w:t>
      </w:r>
      <w:r w:rsidRPr="00A32223">
        <w:rPr>
          <w:sz w:val="24"/>
          <w:szCs w:val="24"/>
          <w:lang w:val="en-GB"/>
        </w:rPr>
        <w:t>at though the erection of the North and South Bridges of Edinburgh benefited owners of property in the neighbourhood, no claim</w:t>
      </w:r>
      <w:r>
        <w:rPr>
          <w:sz w:val="24"/>
          <w:szCs w:val="24"/>
          <w:lang w:val="en-GB"/>
        </w:rPr>
        <w:t xml:space="preserve"> for recompense </w:t>
      </w:r>
      <w:r w:rsidRPr="00A32223">
        <w:rPr>
          <w:sz w:val="24"/>
          <w:szCs w:val="24"/>
          <w:lang w:val="en-GB"/>
        </w:rPr>
        <w:t xml:space="preserve"> l</w:t>
      </w:r>
      <w:r>
        <w:rPr>
          <w:sz w:val="24"/>
          <w:szCs w:val="24"/>
          <w:lang w:val="en-GB"/>
        </w:rPr>
        <w:t>ay</w:t>
      </w:r>
      <w:r w:rsidRPr="00A32223">
        <w:rPr>
          <w:sz w:val="24"/>
          <w:szCs w:val="24"/>
          <w:lang w:val="en-GB"/>
        </w:rPr>
        <w:t xml:space="preserve"> at the instance of </w:t>
      </w:r>
      <w:r>
        <w:rPr>
          <w:sz w:val="24"/>
          <w:szCs w:val="24"/>
          <w:lang w:val="en-GB"/>
        </w:rPr>
        <w:t>the magistrates as the benefit wa</w:t>
      </w:r>
      <w:r w:rsidRPr="00A32223">
        <w:rPr>
          <w:sz w:val="24"/>
          <w:szCs w:val="24"/>
          <w:lang w:val="en-GB"/>
        </w:rPr>
        <w:t>s consequential</w:t>
      </w:r>
      <w:r>
        <w:rPr>
          <w:sz w:val="24"/>
          <w:szCs w:val="24"/>
          <w:lang w:val="en-GB"/>
        </w:rPr>
        <w:t xml:space="preserve">. Again </w:t>
      </w:r>
      <w:r w:rsidRPr="00A32223">
        <w:rPr>
          <w:sz w:val="24"/>
          <w:szCs w:val="24"/>
          <w:lang w:val="en-GB"/>
        </w:rPr>
        <w:t xml:space="preserve">the expenses of a lawsuit settling a point of law </w:t>
      </w:r>
      <w:r>
        <w:rPr>
          <w:sz w:val="24"/>
          <w:szCs w:val="24"/>
          <w:lang w:val="en-GB"/>
        </w:rPr>
        <w:t>we</w:t>
      </w:r>
      <w:r w:rsidRPr="00A32223">
        <w:rPr>
          <w:sz w:val="24"/>
          <w:szCs w:val="24"/>
          <w:lang w:val="en-GB"/>
        </w:rPr>
        <w:t xml:space="preserve">re not recoverable from </w:t>
      </w:r>
      <w:r>
        <w:rPr>
          <w:sz w:val="24"/>
          <w:szCs w:val="24"/>
          <w:lang w:val="en-GB"/>
        </w:rPr>
        <w:t>third parties</w:t>
      </w:r>
      <w:r w:rsidRPr="00A32223">
        <w:rPr>
          <w:sz w:val="24"/>
          <w:szCs w:val="24"/>
          <w:lang w:val="en-GB"/>
        </w:rPr>
        <w:t xml:space="preserve"> merely because they </w:t>
      </w:r>
      <w:proofErr w:type="gramStart"/>
      <w:r w:rsidRPr="00A32223">
        <w:rPr>
          <w:sz w:val="24"/>
          <w:szCs w:val="24"/>
          <w:lang w:val="en-GB"/>
        </w:rPr>
        <w:t>benefit</w:t>
      </w:r>
      <w:r>
        <w:rPr>
          <w:sz w:val="24"/>
          <w:szCs w:val="24"/>
          <w:lang w:val="en-GB"/>
        </w:rPr>
        <w:t xml:space="preserve">ed </w:t>
      </w:r>
      <w:r w:rsidRPr="00A32223">
        <w:rPr>
          <w:sz w:val="24"/>
          <w:szCs w:val="24"/>
          <w:lang w:val="en-GB"/>
        </w:rPr>
        <w:t xml:space="preserve"> from</w:t>
      </w:r>
      <w:proofErr w:type="gramEnd"/>
      <w:r w:rsidRPr="00A32223">
        <w:rPr>
          <w:sz w:val="24"/>
          <w:szCs w:val="24"/>
          <w:lang w:val="en-GB"/>
        </w:rPr>
        <w:t xml:space="preserve"> it. </w:t>
      </w:r>
      <w:r w:rsidRPr="00A32223">
        <w:rPr>
          <w:rStyle w:val="FootnoteReference"/>
          <w:rFonts w:eastAsiaTheme="majorEastAsia"/>
          <w:sz w:val="24"/>
          <w:szCs w:val="24"/>
          <w:lang w:val="en-GB"/>
        </w:rPr>
        <w:footnoteReference w:id="4"/>
      </w:r>
      <w:r w:rsidRPr="00A32223">
        <w:rPr>
          <w:sz w:val="24"/>
          <w:szCs w:val="24"/>
          <w:lang w:val="en-GB"/>
        </w:rPr>
        <w:t xml:space="preserve"> Tenants, </w:t>
      </w:r>
      <w:proofErr w:type="spellStart"/>
      <w:r w:rsidRPr="00A32223">
        <w:rPr>
          <w:sz w:val="24"/>
          <w:szCs w:val="24"/>
          <w:lang w:val="en-GB"/>
        </w:rPr>
        <w:t>liferenters</w:t>
      </w:r>
      <w:proofErr w:type="spellEnd"/>
      <w:r w:rsidRPr="00A32223">
        <w:rPr>
          <w:sz w:val="24"/>
          <w:szCs w:val="24"/>
          <w:lang w:val="en-GB"/>
        </w:rPr>
        <w:t xml:space="preserve"> and other persons possessing on a limited title are generally presumed to effect improvements for their own benefit so that any benefit </w:t>
      </w:r>
      <w:proofErr w:type="spellStart"/>
      <w:r w:rsidRPr="00A32223">
        <w:rPr>
          <w:sz w:val="24"/>
          <w:szCs w:val="24"/>
          <w:lang w:val="en-GB"/>
        </w:rPr>
        <w:t>enuring</w:t>
      </w:r>
      <w:proofErr w:type="spellEnd"/>
      <w:r w:rsidRPr="00A32223">
        <w:rPr>
          <w:sz w:val="24"/>
          <w:szCs w:val="24"/>
          <w:lang w:val="en-GB"/>
        </w:rPr>
        <w:t xml:space="preserve"> to the landlord or owner is incidental and irrecoverable by recompense. </w:t>
      </w:r>
      <w:r w:rsidRPr="00A32223">
        <w:rPr>
          <w:rStyle w:val="FootnoteReference"/>
          <w:rFonts w:eastAsiaTheme="majorEastAsia"/>
          <w:sz w:val="24"/>
          <w:szCs w:val="24"/>
          <w:lang w:val="en-GB"/>
        </w:rPr>
        <w:footnoteReference w:id="5"/>
      </w:r>
      <w:r w:rsidRPr="00A32223">
        <w:rPr>
          <w:sz w:val="24"/>
          <w:szCs w:val="24"/>
          <w:lang w:val="en-GB"/>
        </w:rPr>
        <w:t xml:space="preserve"> In </w:t>
      </w:r>
      <w:r w:rsidRPr="00A32223">
        <w:rPr>
          <w:i/>
          <w:iCs/>
          <w:sz w:val="24"/>
          <w:szCs w:val="24"/>
          <w:lang w:val="en-GB"/>
        </w:rPr>
        <w:t>Orr v Graham</w:t>
      </w:r>
      <w:r w:rsidRPr="00A32223">
        <w:rPr>
          <w:rStyle w:val="FootnoteReference"/>
          <w:rFonts w:eastAsiaTheme="majorEastAsia"/>
          <w:sz w:val="24"/>
          <w:szCs w:val="24"/>
          <w:lang w:val="en-GB"/>
        </w:rPr>
        <w:footnoteReference w:id="6"/>
      </w:r>
      <w:r w:rsidRPr="00A32223">
        <w:rPr>
          <w:sz w:val="24"/>
          <w:szCs w:val="24"/>
          <w:lang w:val="en-GB"/>
        </w:rPr>
        <w:t xml:space="preserve"> a lower riparian owner benefiting from the construction of a dam or reservoir built by an upper riparian owner was not liable to him in recompense; the mere circumstance of benefiting did not create an obligation of recompense. In </w:t>
      </w:r>
      <w:proofErr w:type="spellStart"/>
      <w:r w:rsidRPr="00A32223">
        <w:rPr>
          <w:i/>
          <w:iCs/>
          <w:sz w:val="24"/>
          <w:szCs w:val="24"/>
          <w:lang w:val="en-GB"/>
        </w:rPr>
        <w:t>Fernie</w:t>
      </w:r>
      <w:proofErr w:type="spellEnd"/>
      <w:r w:rsidRPr="00A32223">
        <w:rPr>
          <w:i/>
          <w:iCs/>
          <w:sz w:val="24"/>
          <w:szCs w:val="24"/>
          <w:lang w:val="en-GB"/>
        </w:rPr>
        <w:t xml:space="preserve"> v Robertson</w:t>
      </w:r>
      <w:r w:rsidRPr="00A32223">
        <w:rPr>
          <w:sz w:val="24"/>
          <w:szCs w:val="24"/>
          <w:lang w:val="en-GB"/>
        </w:rPr>
        <w:t xml:space="preserve"> </w:t>
      </w:r>
      <w:r w:rsidRPr="00A32223">
        <w:rPr>
          <w:rStyle w:val="FootnoteReference"/>
          <w:rFonts w:eastAsiaTheme="majorEastAsia"/>
          <w:sz w:val="24"/>
          <w:szCs w:val="24"/>
          <w:lang w:val="en-GB"/>
        </w:rPr>
        <w:footnoteReference w:id="7"/>
      </w:r>
      <w:r w:rsidRPr="00A32223">
        <w:rPr>
          <w:sz w:val="24"/>
          <w:szCs w:val="24"/>
          <w:lang w:val="en-GB"/>
        </w:rPr>
        <w:t xml:space="preserve"> tradesmen, the agents of  a </w:t>
      </w:r>
      <w:proofErr w:type="spellStart"/>
      <w:r w:rsidRPr="00A32223">
        <w:rPr>
          <w:i/>
          <w:iCs/>
          <w:sz w:val="24"/>
          <w:szCs w:val="24"/>
          <w:lang w:val="en-GB"/>
        </w:rPr>
        <w:t>negotiorum</w:t>
      </w:r>
      <w:proofErr w:type="spellEnd"/>
      <w:r w:rsidRPr="00A32223">
        <w:rPr>
          <w:i/>
          <w:iCs/>
          <w:sz w:val="24"/>
          <w:szCs w:val="24"/>
          <w:lang w:val="en-GB"/>
        </w:rPr>
        <w:t xml:space="preserve"> </w:t>
      </w:r>
      <w:proofErr w:type="spellStart"/>
      <w:r w:rsidRPr="00A32223">
        <w:rPr>
          <w:i/>
          <w:iCs/>
          <w:sz w:val="24"/>
          <w:szCs w:val="24"/>
          <w:lang w:val="en-GB"/>
        </w:rPr>
        <w:t>gestrix</w:t>
      </w:r>
      <w:proofErr w:type="spellEnd"/>
      <w:r w:rsidRPr="00A32223">
        <w:rPr>
          <w:sz w:val="24"/>
          <w:szCs w:val="24"/>
          <w:lang w:val="en-GB"/>
        </w:rPr>
        <w:t xml:space="preserve"> for an </w:t>
      </w:r>
      <w:proofErr w:type="spellStart"/>
      <w:r w:rsidRPr="00A32223">
        <w:rPr>
          <w:sz w:val="24"/>
          <w:szCs w:val="24"/>
          <w:lang w:val="en-GB"/>
        </w:rPr>
        <w:t>incapax</w:t>
      </w:r>
      <w:proofErr w:type="spellEnd"/>
      <w:r w:rsidRPr="00A32223">
        <w:rPr>
          <w:sz w:val="24"/>
          <w:szCs w:val="24"/>
          <w:lang w:val="en-GB"/>
        </w:rPr>
        <w:t xml:space="preserve"> mother, executing repairs on the home of the </w:t>
      </w:r>
      <w:proofErr w:type="spellStart"/>
      <w:r w:rsidRPr="00A32223">
        <w:rPr>
          <w:sz w:val="24"/>
          <w:szCs w:val="24"/>
          <w:lang w:val="en-GB"/>
        </w:rPr>
        <w:t>incapax</w:t>
      </w:r>
      <w:proofErr w:type="spellEnd"/>
      <w:r w:rsidRPr="00A32223">
        <w:rPr>
          <w:sz w:val="24"/>
          <w:szCs w:val="24"/>
          <w:lang w:val="en-GB"/>
        </w:rPr>
        <w:t xml:space="preserve">, were held entitled to payment of accounts from heir-at-law of </w:t>
      </w:r>
      <w:proofErr w:type="spellStart"/>
      <w:r w:rsidRPr="00A32223">
        <w:rPr>
          <w:sz w:val="24"/>
          <w:szCs w:val="24"/>
          <w:lang w:val="en-GB"/>
        </w:rPr>
        <w:t>incapax</w:t>
      </w:r>
      <w:proofErr w:type="spellEnd"/>
      <w:r w:rsidRPr="00A32223">
        <w:rPr>
          <w:sz w:val="24"/>
          <w:szCs w:val="24"/>
          <w:lang w:val="en-GB"/>
        </w:rPr>
        <w:t xml:space="preserve"> after her </w:t>
      </w:r>
      <w:r w:rsidRPr="00267A2F">
        <w:rPr>
          <w:sz w:val="24"/>
          <w:szCs w:val="24"/>
          <w:lang w:val="en-GB"/>
        </w:rPr>
        <w:t>death</w:t>
      </w:r>
      <w:r>
        <w:rPr>
          <w:sz w:val="24"/>
          <w:szCs w:val="24"/>
          <w:lang w:val="en-GB"/>
        </w:rPr>
        <w:t>.</w:t>
      </w:r>
      <w:r w:rsidRPr="00267A2F">
        <w:rPr>
          <w:sz w:val="24"/>
          <w:szCs w:val="24"/>
          <w:lang w:val="en-GB"/>
        </w:rPr>
        <w:t xml:space="preserve">  Lord </w:t>
      </w:r>
      <w:proofErr w:type="spellStart"/>
      <w:r w:rsidRPr="00267A2F">
        <w:rPr>
          <w:sz w:val="24"/>
          <w:szCs w:val="24"/>
          <w:lang w:val="en-GB"/>
        </w:rPr>
        <w:t>Neaves</w:t>
      </w:r>
      <w:proofErr w:type="spellEnd"/>
      <w:r w:rsidRPr="00267A2F">
        <w:rPr>
          <w:sz w:val="24"/>
          <w:szCs w:val="24"/>
          <w:lang w:val="en-GB"/>
        </w:rPr>
        <w:t xml:space="preserve"> observed</w:t>
      </w:r>
      <w:r w:rsidRPr="00267A2F">
        <w:rPr>
          <w:rStyle w:val="FootnoteReference"/>
          <w:rFonts w:eastAsiaTheme="majorEastAsia"/>
          <w:sz w:val="24"/>
          <w:szCs w:val="24"/>
          <w:lang w:val="en-GB"/>
        </w:rPr>
        <w:footnoteReference w:id="8"/>
      </w:r>
      <w:r w:rsidRPr="00267A2F">
        <w:rPr>
          <w:sz w:val="24"/>
          <w:szCs w:val="24"/>
          <w:lang w:val="en-GB"/>
        </w:rPr>
        <w:t xml:space="preserve"> “A man who at his own hand executes operations on a property, partly for himself and partly for another, has no claim against that other”. In </w:t>
      </w:r>
      <w:r w:rsidRPr="00267A2F">
        <w:rPr>
          <w:i/>
          <w:iCs/>
          <w:sz w:val="24"/>
          <w:szCs w:val="24"/>
          <w:lang w:val="en-GB"/>
        </w:rPr>
        <w:t>Buchanan v Stewart</w:t>
      </w:r>
      <w:r w:rsidRPr="00267A2F">
        <w:rPr>
          <w:rStyle w:val="FootnoteReference"/>
          <w:rFonts w:eastAsiaTheme="majorEastAsia"/>
          <w:iCs/>
          <w:sz w:val="24"/>
          <w:szCs w:val="24"/>
          <w:lang w:val="en-GB"/>
        </w:rPr>
        <w:footnoteReference w:id="9"/>
      </w:r>
      <w:r w:rsidRPr="00267A2F">
        <w:rPr>
          <w:sz w:val="24"/>
          <w:szCs w:val="24"/>
          <w:lang w:val="en-GB"/>
        </w:rPr>
        <w:t xml:space="preserve"> the trustee on</w:t>
      </w:r>
      <w:r>
        <w:rPr>
          <w:sz w:val="24"/>
          <w:szCs w:val="24"/>
          <w:lang w:val="en-GB"/>
        </w:rPr>
        <w:t xml:space="preserve"> </w:t>
      </w:r>
      <w:proofErr w:type="gramStart"/>
      <w:r w:rsidRPr="00267A2F">
        <w:rPr>
          <w:sz w:val="24"/>
          <w:szCs w:val="24"/>
          <w:lang w:val="en-GB"/>
        </w:rPr>
        <w:t>a  sequestrated</w:t>
      </w:r>
      <w:proofErr w:type="gramEnd"/>
      <w:r w:rsidRPr="00267A2F">
        <w:rPr>
          <w:sz w:val="24"/>
          <w:szCs w:val="24"/>
          <w:lang w:val="en-GB"/>
        </w:rPr>
        <w:t xml:space="preserve"> estate who completed unfinished buildings was not entitled to recompense from a secured creditor of the bankrupt: it could not be shown that the trustee had not been acting </w:t>
      </w:r>
      <w:r w:rsidRPr="00267A2F">
        <w:rPr>
          <w:i/>
          <w:iCs/>
          <w:sz w:val="24"/>
          <w:szCs w:val="24"/>
          <w:lang w:val="en-GB"/>
        </w:rPr>
        <w:t xml:space="preserve">in </w:t>
      </w:r>
      <w:proofErr w:type="spellStart"/>
      <w:r w:rsidRPr="00267A2F">
        <w:rPr>
          <w:i/>
          <w:iCs/>
          <w:sz w:val="24"/>
          <w:szCs w:val="24"/>
          <w:lang w:val="en-GB"/>
        </w:rPr>
        <w:t>suo</w:t>
      </w:r>
      <w:proofErr w:type="spellEnd"/>
      <w:r w:rsidRPr="00267A2F">
        <w:rPr>
          <w:sz w:val="24"/>
          <w:szCs w:val="24"/>
          <w:lang w:val="en-GB"/>
        </w:rPr>
        <w:t xml:space="preserve"> (for his own benefit) by making improvements for the purpose of increasing the reversion for the benefit of the general body of creditors and thus indirectly benefiting himself.</w:t>
      </w:r>
      <w:r w:rsidRPr="00267A2F">
        <w:rPr>
          <w:rStyle w:val="FootnoteReference"/>
          <w:rFonts w:eastAsiaTheme="majorEastAsia"/>
          <w:sz w:val="24"/>
          <w:szCs w:val="24"/>
          <w:lang w:val="en-GB"/>
        </w:rPr>
        <w:footnoteReference w:id="10"/>
      </w:r>
      <w:r w:rsidRPr="00267A2F">
        <w:rPr>
          <w:sz w:val="24"/>
          <w:szCs w:val="24"/>
          <w:lang w:val="en-GB"/>
        </w:rPr>
        <w:t xml:space="preserve"> In </w:t>
      </w:r>
      <w:r w:rsidRPr="00267A2F">
        <w:rPr>
          <w:i/>
          <w:iCs/>
          <w:sz w:val="24"/>
          <w:szCs w:val="24"/>
          <w:lang w:val="en-GB"/>
        </w:rPr>
        <w:t xml:space="preserve">Stewart v </w:t>
      </w:r>
      <w:proofErr w:type="spellStart"/>
      <w:r w:rsidRPr="00267A2F">
        <w:rPr>
          <w:i/>
          <w:iCs/>
          <w:sz w:val="24"/>
          <w:szCs w:val="24"/>
          <w:lang w:val="en-GB"/>
        </w:rPr>
        <w:t>Steuart</w:t>
      </w:r>
      <w:proofErr w:type="spellEnd"/>
      <w:r w:rsidRPr="00267A2F">
        <w:rPr>
          <w:rStyle w:val="FootnoteReference"/>
          <w:rFonts w:eastAsiaTheme="majorEastAsia"/>
          <w:sz w:val="24"/>
          <w:szCs w:val="24"/>
          <w:lang w:val="en-GB"/>
        </w:rPr>
        <w:footnoteReference w:id="11"/>
      </w:r>
      <w:r w:rsidRPr="00267A2F">
        <w:rPr>
          <w:sz w:val="24"/>
          <w:szCs w:val="24"/>
          <w:lang w:val="en-GB"/>
        </w:rPr>
        <w:t xml:space="preserve"> the supply of water to an entailed estate through a neighbouring estate incidentally benefited the owner and tenants of the  neighbouring estate without loss to the entailed estate and it was held that the neighbours were under; no obligation of recompense in respect of the past supply. In </w:t>
      </w:r>
      <w:r w:rsidRPr="00267A2F">
        <w:rPr>
          <w:i/>
          <w:iCs/>
          <w:sz w:val="24"/>
          <w:szCs w:val="24"/>
          <w:lang w:val="en-GB"/>
        </w:rPr>
        <w:t xml:space="preserve">Rankin v </w:t>
      </w:r>
      <w:r w:rsidRPr="00267A2F">
        <w:rPr>
          <w:sz w:val="24"/>
          <w:szCs w:val="24"/>
          <w:lang w:val="en-GB"/>
        </w:rPr>
        <w:t>Wither</w:t>
      </w:r>
      <w:r w:rsidRPr="00267A2F">
        <w:rPr>
          <w:rStyle w:val="FootnoteReference"/>
          <w:rFonts w:eastAsiaTheme="majorEastAsia"/>
          <w:sz w:val="24"/>
          <w:szCs w:val="24"/>
          <w:lang w:val="en-GB"/>
        </w:rPr>
        <w:footnoteReference w:id="12"/>
      </w:r>
      <w:r w:rsidRPr="00267A2F">
        <w:rPr>
          <w:sz w:val="24"/>
          <w:szCs w:val="24"/>
          <w:lang w:val="en-GB"/>
        </w:rPr>
        <w:t xml:space="preserve"> a husband  rebuilding a wife’s property was  treated as a temporary possessor making improvements for his own benefit and had no claim for recompense against his wife’s heir-at-</w:t>
      </w:r>
      <w:proofErr w:type="spellStart"/>
      <w:r w:rsidRPr="00267A2F">
        <w:rPr>
          <w:sz w:val="24"/>
          <w:szCs w:val="24"/>
          <w:lang w:val="en-GB"/>
        </w:rPr>
        <w:t>law.</w:t>
      </w:r>
      <w:r w:rsidRPr="000428D8">
        <w:rPr>
          <w:sz w:val="24"/>
          <w:szCs w:val="24"/>
          <w:lang w:val="en-GB"/>
        </w:rPr>
        <w:t>In</w:t>
      </w:r>
      <w:proofErr w:type="spellEnd"/>
      <w:r w:rsidRPr="000428D8">
        <w:rPr>
          <w:sz w:val="24"/>
          <w:szCs w:val="24"/>
          <w:lang w:val="en-GB"/>
        </w:rPr>
        <w:t xml:space="preserve"> </w:t>
      </w:r>
      <w:proofErr w:type="spellStart"/>
      <w:r w:rsidRPr="000428D8">
        <w:rPr>
          <w:i/>
          <w:iCs/>
          <w:sz w:val="24"/>
          <w:szCs w:val="24"/>
          <w:lang w:val="en-GB"/>
        </w:rPr>
        <w:t>Shilliday</w:t>
      </w:r>
      <w:proofErr w:type="spellEnd"/>
      <w:r w:rsidRPr="000428D8">
        <w:rPr>
          <w:i/>
          <w:iCs/>
          <w:sz w:val="24"/>
          <w:szCs w:val="24"/>
          <w:lang w:val="en-GB"/>
        </w:rPr>
        <w:t xml:space="preserve"> v Smith</w:t>
      </w:r>
      <w:r w:rsidRPr="000428D8">
        <w:rPr>
          <w:rStyle w:val="FootnoteReference"/>
          <w:rFonts w:eastAsiaTheme="majorEastAsia"/>
          <w:sz w:val="24"/>
          <w:szCs w:val="24"/>
          <w:lang w:val="en-GB"/>
        </w:rPr>
        <w:footnoteReference w:id="13"/>
      </w:r>
      <w:r w:rsidRPr="000428D8">
        <w:rPr>
          <w:i/>
          <w:iCs/>
          <w:sz w:val="24"/>
          <w:szCs w:val="24"/>
          <w:lang w:val="en-GB"/>
        </w:rPr>
        <w:t xml:space="preserve"> </w:t>
      </w:r>
      <w:r w:rsidRPr="000428D8">
        <w:rPr>
          <w:sz w:val="24"/>
          <w:szCs w:val="24"/>
          <w:lang w:val="en-GB"/>
        </w:rPr>
        <w:t>L</w:t>
      </w:r>
      <w:r>
        <w:rPr>
          <w:sz w:val="24"/>
          <w:szCs w:val="24"/>
          <w:lang w:val="en-GB"/>
        </w:rPr>
        <w:t xml:space="preserve">ord </w:t>
      </w:r>
      <w:r w:rsidRPr="000428D8">
        <w:rPr>
          <w:sz w:val="24"/>
          <w:szCs w:val="24"/>
          <w:lang w:val="en-GB"/>
        </w:rPr>
        <w:t xml:space="preserve"> </w:t>
      </w:r>
      <w:r>
        <w:rPr>
          <w:sz w:val="24"/>
          <w:szCs w:val="24"/>
          <w:lang w:val="en-GB"/>
        </w:rPr>
        <w:t>President</w:t>
      </w:r>
      <w:r w:rsidRPr="000428D8">
        <w:rPr>
          <w:sz w:val="24"/>
          <w:szCs w:val="24"/>
          <w:lang w:val="en-GB"/>
        </w:rPr>
        <w:t xml:space="preserve"> Rodger “explained” several of the above cases</w:t>
      </w:r>
      <w:r w:rsidRPr="000428D8">
        <w:rPr>
          <w:rStyle w:val="FootnoteReference"/>
          <w:rFonts w:eastAsiaTheme="majorEastAsia"/>
          <w:sz w:val="24"/>
          <w:szCs w:val="24"/>
          <w:lang w:val="en-GB"/>
        </w:rPr>
        <w:footnoteReference w:id="14"/>
      </w:r>
      <w:r w:rsidRPr="000428D8">
        <w:rPr>
          <w:sz w:val="24"/>
          <w:szCs w:val="24"/>
          <w:lang w:val="en-GB"/>
        </w:rPr>
        <w:t xml:space="preserve"> on the basis that the </w:t>
      </w:r>
      <w:r w:rsidRPr="000428D8">
        <w:rPr>
          <w:i/>
          <w:iCs/>
          <w:sz w:val="24"/>
          <w:szCs w:val="24"/>
          <w:lang w:val="en-GB"/>
        </w:rPr>
        <w:t xml:space="preserve">in </w:t>
      </w:r>
      <w:proofErr w:type="spellStart"/>
      <w:r w:rsidRPr="000428D8">
        <w:rPr>
          <w:i/>
          <w:iCs/>
          <w:sz w:val="24"/>
          <w:szCs w:val="24"/>
          <w:lang w:val="en-GB"/>
        </w:rPr>
        <w:t>suo</w:t>
      </w:r>
      <w:proofErr w:type="spellEnd"/>
      <w:r w:rsidRPr="000428D8">
        <w:rPr>
          <w:sz w:val="24"/>
          <w:szCs w:val="24"/>
          <w:lang w:val="en-GB"/>
        </w:rPr>
        <w:t xml:space="preserve"> prohibition on recovery only applies where the benefit conferred by the service is incidental: </w:t>
      </w:r>
      <w:r w:rsidRPr="000428D8">
        <w:rPr>
          <w:sz w:val="24"/>
          <w:szCs w:val="24"/>
          <w:lang w:val="en-GB"/>
        </w:rPr>
        <w:lastRenderedPageBreak/>
        <w:t>“a defender is not regarded as being unjustly enriched just because he enjoys an incidental benefit from expenditure or work which a pursuer has made or carried out for his own purposes”.</w:t>
      </w:r>
      <w:r w:rsidRPr="000428D8">
        <w:rPr>
          <w:i/>
          <w:iCs/>
          <w:sz w:val="24"/>
          <w:szCs w:val="24"/>
          <w:lang w:val="en-GB"/>
        </w:rPr>
        <w:t xml:space="preserve"> </w:t>
      </w:r>
      <w:r w:rsidRPr="000428D8">
        <w:rPr>
          <w:sz w:val="24"/>
          <w:szCs w:val="24"/>
          <w:lang w:val="en-GB"/>
        </w:rPr>
        <w:t xml:space="preserve">But in </w:t>
      </w:r>
      <w:r>
        <w:rPr>
          <w:sz w:val="24"/>
          <w:szCs w:val="24"/>
          <w:lang w:val="en-GB"/>
        </w:rPr>
        <w:t xml:space="preserve">such a </w:t>
      </w:r>
      <w:r w:rsidRPr="000428D8">
        <w:rPr>
          <w:sz w:val="24"/>
          <w:szCs w:val="24"/>
          <w:lang w:val="en-GB"/>
        </w:rPr>
        <w:t xml:space="preserve">case </w:t>
      </w:r>
      <w:r>
        <w:rPr>
          <w:sz w:val="24"/>
          <w:szCs w:val="24"/>
          <w:lang w:val="en-GB"/>
        </w:rPr>
        <w:t xml:space="preserve">the in </w:t>
      </w:r>
      <w:proofErr w:type="spellStart"/>
      <w:r>
        <w:rPr>
          <w:sz w:val="24"/>
          <w:szCs w:val="24"/>
          <w:lang w:val="en-GB"/>
        </w:rPr>
        <w:t>suo</w:t>
      </w:r>
      <w:proofErr w:type="spellEnd"/>
      <w:r>
        <w:rPr>
          <w:sz w:val="24"/>
          <w:szCs w:val="24"/>
          <w:lang w:val="en-GB"/>
        </w:rPr>
        <w:t xml:space="preserve"> prohibition of </w:t>
      </w:r>
      <w:proofErr w:type="gramStart"/>
      <w:r>
        <w:rPr>
          <w:sz w:val="24"/>
          <w:szCs w:val="24"/>
          <w:lang w:val="en-GB"/>
        </w:rPr>
        <w:t xml:space="preserve">recovery </w:t>
      </w:r>
      <w:r w:rsidRPr="000428D8">
        <w:rPr>
          <w:sz w:val="24"/>
          <w:szCs w:val="24"/>
          <w:lang w:val="en-GB"/>
        </w:rPr>
        <w:t xml:space="preserve"> is</w:t>
      </w:r>
      <w:proofErr w:type="gramEnd"/>
      <w:r w:rsidRPr="000428D8">
        <w:rPr>
          <w:sz w:val="24"/>
          <w:szCs w:val="24"/>
          <w:lang w:val="en-GB"/>
        </w:rPr>
        <w:t xml:space="preserve"> otiose since the defender can rely on the </w:t>
      </w:r>
      <w:r>
        <w:rPr>
          <w:sz w:val="24"/>
          <w:szCs w:val="24"/>
          <w:lang w:val="en-GB"/>
        </w:rPr>
        <w:t xml:space="preserve">rule against recompense for an </w:t>
      </w:r>
      <w:r w:rsidRPr="000428D8">
        <w:rPr>
          <w:sz w:val="24"/>
          <w:szCs w:val="24"/>
          <w:lang w:val="en-GB"/>
        </w:rPr>
        <w:t>incidental benefit .</w:t>
      </w:r>
    </w:p>
    <w:p w:rsidR="0017226E" w:rsidRPr="000428D8" w:rsidRDefault="0017226E" w:rsidP="0017226E">
      <w:pPr>
        <w:pStyle w:val="FootnoteText"/>
        <w:ind w:firstLine="720"/>
        <w:rPr>
          <w:sz w:val="24"/>
          <w:szCs w:val="24"/>
          <w:lang w:val="en-GB"/>
        </w:rPr>
      </w:pPr>
      <w:r w:rsidRPr="000428D8">
        <w:rPr>
          <w:sz w:val="24"/>
          <w:szCs w:val="24"/>
          <w:lang w:val="en-GB"/>
        </w:rPr>
        <w:t xml:space="preserve">It may well be that the reason why incidental benefits are not redressed by recompense is that looking at the matter from the pursuer’s standpoint, the pursuer suffers by his </w:t>
      </w:r>
      <w:proofErr w:type="spellStart"/>
      <w:r w:rsidRPr="000428D8">
        <w:rPr>
          <w:sz w:val="24"/>
          <w:szCs w:val="24"/>
          <w:lang w:val="en-GB"/>
        </w:rPr>
        <w:t>actings</w:t>
      </w:r>
      <w:proofErr w:type="spellEnd"/>
      <w:r w:rsidRPr="000428D8">
        <w:rPr>
          <w:sz w:val="24"/>
          <w:szCs w:val="24"/>
          <w:lang w:val="en-GB"/>
        </w:rPr>
        <w:t xml:space="preserve"> no extra loss over and above the expenditure which he incurred to benefit himself or for his own purposes. Hume linked the two elements of no loss and the incidental character of the benefit when remarking:</w:t>
      </w:r>
    </w:p>
    <w:p w:rsidR="0017226E" w:rsidRDefault="0017226E" w:rsidP="0017226E">
      <w:pPr>
        <w:pStyle w:val="FootnoteText"/>
        <w:ind w:left="720"/>
        <w:rPr>
          <w:lang w:val="en-GB"/>
        </w:rPr>
      </w:pPr>
      <w:r>
        <w:rPr>
          <w:lang w:val="en-GB"/>
        </w:rPr>
        <w:t>“</w:t>
      </w:r>
      <w:proofErr w:type="gramStart"/>
      <w:r>
        <w:rPr>
          <w:lang w:val="en-GB"/>
        </w:rPr>
        <w:t>the</w:t>
      </w:r>
      <w:proofErr w:type="gramEnd"/>
      <w:r>
        <w:rPr>
          <w:lang w:val="en-GB"/>
        </w:rPr>
        <w:t xml:space="preserve"> … claimant of restitution must have sustained a loss; must be substantially out of pocket.  It is not sufficient that the defender has reaped some occasional benefit from the claimant’s money, if this expenditure has sufficiently answered its purpose, withal, to the claimant himself.”</w:t>
      </w:r>
      <w:r>
        <w:rPr>
          <w:rStyle w:val="FootnoteReference"/>
          <w:rFonts w:eastAsiaTheme="majorEastAsia"/>
          <w:lang w:val="en-GB"/>
        </w:rPr>
        <w:footnoteReference w:id="15"/>
      </w:r>
    </w:p>
    <w:p w:rsidR="0017226E" w:rsidRDefault="0017226E" w:rsidP="0017226E">
      <w:pPr>
        <w:pStyle w:val="FootnoteText"/>
        <w:rPr>
          <w:lang w:val="en-GB"/>
        </w:rPr>
      </w:pPr>
      <w:r w:rsidRPr="000428D8">
        <w:rPr>
          <w:sz w:val="24"/>
          <w:szCs w:val="24"/>
          <w:lang w:val="en-GB"/>
        </w:rPr>
        <w:t xml:space="preserve">The same connection was made by Lord President Dunedin in </w:t>
      </w:r>
      <w:r w:rsidRPr="000428D8">
        <w:rPr>
          <w:i/>
          <w:iCs/>
          <w:sz w:val="24"/>
          <w:szCs w:val="24"/>
          <w:lang w:val="en-GB"/>
        </w:rPr>
        <w:t>Edinburgh &amp; District Tramways Co v Courtenay</w:t>
      </w:r>
      <w:r w:rsidRPr="000428D8">
        <w:rPr>
          <w:rStyle w:val="FootnoteReference"/>
          <w:rFonts w:eastAsiaTheme="majorEastAsia"/>
          <w:sz w:val="24"/>
          <w:szCs w:val="24"/>
          <w:lang w:val="en-GB"/>
        </w:rPr>
        <w:footnoteReference w:id="16"/>
      </w:r>
      <w:r w:rsidRPr="000428D8">
        <w:rPr>
          <w:sz w:val="24"/>
          <w:szCs w:val="24"/>
          <w:lang w:val="en-GB"/>
        </w:rPr>
        <w:t xml:space="preserve"> t</w:t>
      </w:r>
      <w:r>
        <w:rPr>
          <w:sz w:val="24"/>
          <w:szCs w:val="24"/>
          <w:lang w:val="en-GB"/>
        </w:rPr>
        <w:t xml:space="preserve">he famous “decency boards” case when giving the </w:t>
      </w:r>
      <w:r w:rsidRPr="000428D8">
        <w:rPr>
          <w:sz w:val="24"/>
          <w:szCs w:val="24"/>
          <w:lang w:val="en-GB"/>
        </w:rPr>
        <w:t xml:space="preserve"> example of </w:t>
      </w:r>
      <w:r>
        <w:rPr>
          <w:sz w:val="24"/>
          <w:szCs w:val="24"/>
          <w:lang w:val="en-GB"/>
        </w:rPr>
        <w:t xml:space="preserve">a </w:t>
      </w:r>
      <w:r w:rsidRPr="000428D8">
        <w:rPr>
          <w:sz w:val="24"/>
          <w:szCs w:val="24"/>
          <w:lang w:val="en-GB"/>
        </w:rPr>
        <w:t xml:space="preserve">man heating </w:t>
      </w:r>
      <w:r>
        <w:rPr>
          <w:sz w:val="24"/>
          <w:szCs w:val="24"/>
          <w:lang w:val="en-GB"/>
        </w:rPr>
        <w:t xml:space="preserve">his </w:t>
      </w:r>
      <w:r w:rsidRPr="000428D8">
        <w:rPr>
          <w:sz w:val="24"/>
          <w:szCs w:val="24"/>
          <w:lang w:val="en-GB"/>
        </w:rPr>
        <w:t>own house and incidentally heating his neighbour’s</w:t>
      </w:r>
      <w:r>
        <w:rPr>
          <w:rStyle w:val="FootnoteReference"/>
          <w:sz w:val="24"/>
          <w:szCs w:val="24"/>
          <w:lang w:val="en-GB"/>
        </w:rPr>
        <w:footnoteReference w:id="17"/>
      </w:r>
      <w:r w:rsidRPr="000428D8">
        <w:rPr>
          <w:sz w:val="24"/>
          <w:szCs w:val="24"/>
          <w:lang w:val="en-GB"/>
        </w:rPr>
        <w:t xml:space="preserve">. The linkage was again made by Lord Guest in </w:t>
      </w:r>
      <w:r w:rsidRPr="000428D8">
        <w:rPr>
          <w:i/>
          <w:iCs/>
          <w:sz w:val="24"/>
          <w:szCs w:val="24"/>
          <w:lang w:val="en-GB"/>
        </w:rPr>
        <w:t xml:space="preserve">Exchange Telegraph Co Ltd v </w:t>
      </w:r>
      <w:proofErr w:type="spellStart"/>
      <w:r w:rsidRPr="000428D8">
        <w:rPr>
          <w:i/>
          <w:iCs/>
          <w:sz w:val="24"/>
          <w:szCs w:val="24"/>
          <w:lang w:val="en-GB"/>
        </w:rPr>
        <w:t>Giulianotti</w:t>
      </w:r>
      <w:proofErr w:type="spellEnd"/>
      <w:r w:rsidRPr="000428D8">
        <w:rPr>
          <w:rStyle w:val="FootnoteReference"/>
          <w:rFonts w:eastAsiaTheme="majorEastAsia"/>
          <w:sz w:val="24"/>
          <w:szCs w:val="24"/>
          <w:lang w:val="en-GB"/>
        </w:rPr>
        <w:footnoteReference w:id="18"/>
      </w:r>
      <w:r w:rsidRPr="000428D8">
        <w:rPr>
          <w:i/>
          <w:iCs/>
          <w:sz w:val="24"/>
          <w:szCs w:val="24"/>
          <w:lang w:val="en-GB"/>
        </w:rPr>
        <w:t xml:space="preserve"> </w:t>
      </w:r>
      <w:r w:rsidRPr="000428D8">
        <w:rPr>
          <w:sz w:val="24"/>
          <w:szCs w:val="24"/>
          <w:lang w:val="en-GB"/>
        </w:rPr>
        <w:t>as follow</w:t>
      </w:r>
      <w:r>
        <w:rPr>
          <w:lang w:val="en-GB"/>
        </w:rPr>
        <w:t xml:space="preserve">s: </w:t>
      </w:r>
    </w:p>
    <w:p w:rsidR="0017226E" w:rsidRDefault="0017226E" w:rsidP="0017226E">
      <w:pPr>
        <w:pStyle w:val="FootnoteText"/>
        <w:ind w:left="720"/>
        <w:rPr>
          <w:lang w:val="en-GB"/>
        </w:rPr>
      </w:pPr>
      <w:r>
        <w:rPr>
          <w:lang w:val="en-GB"/>
        </w:rPr>
        <w:t>“</w:t>
      </w:r>
      <w:proofErr w:type="gramStart"/>
      <w:r>
        <w:rPr>
          <w:lang w:val="en-GB"/>
        </w:rPr>
        <w:t>the</w:t>
      </w:r>
      <w:proofErr w:type="gramEnd"/>
      <w:r>
        <w:rPr>
          <w:lang w:val="en-GB"/>
        </w:rPr>
        <w:t xml:space="preserve"> expense had been incurred by the pursuers in providing the racing news service to their subscribers.  The fact that the defender by obtaining the news service from other subscribers benefited incidentally did not involve the pursuers in any extra expenditure”.</w:t>
      </w:r>
    </w:p>
    <w:p w:rsidR="008A2BC8" w:rsidRPr="0017226E" w:rsidRDefault="00212D2D" w:rsidP="0017226E"/>
    <w:sectPr w:rsidR="008A2BC8" w:rsidRPr="0017226E" w:rsidSect="00DE2C0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D2D" w:rsidRDefault="00212D2D" w:rsidP="00233A58">
      <w:pPr>
        <w:spacing w:after="0" w:line="240" w:lineRule="auto"/>
      </w:pPr>
      <w:r>
        <w:separator/>
      </w:r>
    </w:p>
  </w:endnote>
  <w:endnote w:type="continuationSeparator" w:id="0">
    <w:p w:rsidR="00212D2D" w:rsidRDefault="00212D2D" w:rsidP="00233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D2D" w:rsidRDefault="00212D2D" w:rsidP="00233A58">
      <w:pPr>
        <w:spacing w:after="0" w:line="240" w:lineRule="auto"/>
      </w:pPr>
      <w:r>
        <w:separator/>
      </w:r>
    </w:p>
  </w:footnote>
  <w:footnote w:type="continuationSeparator" w:id="0">
    <w:p w:rsidR="00212D2D" w:rsidRDefault="00212D2D" w:rsidP="00233A58">
      <w:pPr>
        <w:spacing w:after="0" w:line="240" w:lineRule="auto"/>
      </w:pPr>
      <w:r>
        <w:continuationSeparator/>
      </w:r>
    </w:p>
  </w:footnote>
  <w:footnote w:id="1">
    <w:p w:rsidR="0017226E" w:rsidRPr="00267A2F" w:rsidRDefault="0017226E" w:rsidP="0017226E">
      <w:pPr>
        <w:pStyle w:val="FootnoteText"/>
        <w:rPr>
          <w:lang w:val="en-GB"/>
        </w:rPr>
      </w:pPr>
      <w:r>
        <w:rPr>
          <w:rStyle w:val="FootnoteReference"/>
        </w:rPr>
        <w:footnoteRef/>
      </w:r>
      <w:r>
        <w:t xml:space="preserve"> </w:t>
      </w:r>
      <w:r>
        <w:rPr>
          <w:lang w:val="en-GB"/>
        </w:rPr>
        <w:t xml:space="preserve">In fact the “rising heat” example of incidental benefit given by Lord President Dunedin in </w:t>
      </w:r>
      <w:r>
        <w:rPr>
          <w:i/>
        </w:rPr>
        <w:t>Edinburgh &amp; District Tramways Co v Courtenay</w:t>
      </w:r>
      <w:r>
        <w:t xml:space="preserve"> 1909 SC 99 at 105; 16 SLT 548 was popularized by Birks and is one of the few Scots sources on unjustified enrichment cited throughout the Common Law world. </w:t>
      </w:r>
    </w:p>
  </w:footnote>
  <w:footnote w:id="2">
    <w:p w:rsidR="0017226E" w:rsidRDefault="0017226E" w:rsidP="0017226E">
      <w:pPr>
        <w:pStyle w:val="FootnoteText"/>
      </w:pPr>
      <w:r>
        <w:rPr>
          <w:rStyle w:val="FootnoteReference"/>
          <w:rFonts w:eastAsiaTheme="majorEastAsia"/>
        </w:rPr>
        <w:footnoteRef/>
      </w:r>
      <w:r>
        <w:t xml:space="preserve"> </w:t>
      </w:r>
      <w:r>
        <w:rPr>
          <w:lang w:val="en-GB"/>
        </w:rPr>
        <w:t xml:space="preserve"> (1735) </w:t>
      </w:r>
      <w:proofErr w:type="spellStart"/>
      <w:proofErr w:type="gramStart"/>
      <w:r>
        <w:rPr>
          <w:lang w:val="en-GB"/>
        </w:rPr>
        <w:t>Mor</w:t>
      </w:r>
      <w:proofErr w:type="spellEnd"/>
      <w:proofErr w:type="gramEnd"/>
      <w:r>
        <w:rPr>
          <w:lang w:val="en-GB"/>
        </w:rPr>
        <w:t xml:space="preserve"> 13402; 6240.</w:t>
      </w:r>
    </w:p>
  </w:footnote>
  <w:footnote w:id="3">
    <w:p w:rsidR="0017226E" w:rsidRPr="00CC0ACF" w:rsidRDefault="0017226E" w:rsidP="0017226E">
      <w:pPr>
        <w:pStyle w:val="FootnoteText"/>
      </w:pPr>
      <w:r w:rsidRPr="00CC0ACF">
        <w:rPr>
          <w:rStyle w:val="FootnoteReference"/>
          <w:rFonts w:eastAsiaTheme="majorEastAsia"/>
        </w:rPr>
        <w:footnoteRef/>
      </w:r>
      <w:r w:rsidRPr="00CC0ACF">
        <w:t xml:space="preserve"> Hume, </w:t>
      </w:r>
      <w:r w:rsidRPr="00CC0ACF">
        <w:rPr>
          <w:i/>
        </w:rPr>
        <w:t>Lectures</w:t>
      </w:r>
      <w:r w:rsidRPr="00CC0ACF">
        <w:t xml:space="preserve"> </w:t>
      </w:r>
      <w:proofErr w:type="spellStart"/>
      <w:r w:rsidRPr="00CC0ACF">
        <w:rPr>
          <w:lang w:val="en-GB"/>
        </w:rPr>
        <w:t>vol</w:t>
      </w:r>
      <w:proofErr w:type="spellEnd"/>
      <w:r w:rsidRPr="00CC0ACF">
        <w:rPr>
          <w:lang w:val="en-GB"/>
        </w:rPr>
        <w:t xml:space="preserve"> III, p 166, </w:t>
      </w:r>
      <w:proofErr w:type="gramStart"/>
      <w:r w:rsidRPr="00CC0ACF">
        <w:rPr>
          <w:lang w:val="en-GB"/>
        </w:rPr>
        <w:t>footnote</w:t>
      </w:r>
      <w:proofErr w:type="gramEnd"/>
      <w:r w:rsidRPr="00CC0ACF">
        <w:rPr>
          <w:lang w:val="en-GB"/>
        </w:rPr>
        <w:t xml:space="preserve"> 8.</w:t>
      </w:r>
    </w:p>
  </w:footnote>
  <w:footnote w:id="4">
    <w:p w:rsidR="0017226E" w:rsidRPr="00CC0ACF" w:rsidRDefault="0017226E" w:rsidP="0017226E">
      <w:pPr>
        <w:pStyle w:val="FootnoteText"/>
      </w:pPr>
      <w:r w:rsidRPr="00CC0ACF">
        <w:rPr>
          <w:rStyle w:val="FootnoteReference"/>
          <w:rFonts w:eastAsiaTheme="majorEastAsia"/>
        </w:rPr>
        <w:footnoteRef/>
      </w:r>
      <w:r w:rsidRPr="00CC0ACF">
        <w:t xml:space="preserve"> C</w:t>
      </w:r>
      <w:proofErr w:type="spellStart"/>
      <w:r w:rsidRPr="00CC0ACF">
        <w:rPr>
          <w:lang w:val="en-GB"/>
        </w:rPr>
        <w:t>iting</w:t>
      </w:r>
      <w:proofErr w:type="spellEnd"/>
      <w:r w:rsidRPr="00CC0ACF">
        <w:rPr>
          <w:lang w:val="en-GB"/>
        </w:rPr>
        <w:t xml:space="preserve"> unreported case of </w:t>
      </w:r>
      <w:r w:rsidRPr="00CC0ACF">
        <w:rPr>
          <w:i/>
          <w:iCs/>
          <w:lang w:val="en-GB"/>
        </w:rPr>
        <w:t>Ferguson v Smyth</w:t>
      </w:r>
      <w:r w:rsidRPr="00CC0ACF">
        <w:rPr>
          <w:lang w:val="en-GB"/>
        </w:rPr>
        <w:t xml:space="preserve"> 18</w:t>
      </w:r>
      <w:r w:rsidRPr="00CC0ACF">
        <w:rPr>
          <w:vertAlign w:val="superscript"/>
          <w:lang w:val="en-GB"/>
        </w:rPr>
        <w:t>th</w:t>
      </w:r>
      <w:r w:rsidRPr="00CC0ACF">
        <w:rPr>
          <w:lang w:val="en-GB"/>
        </w:rPr>
        <w:t xml:space="preserve"> November 1802, Signet Library, Old Session Papers </w:t>
      </w:r>
      <w:proofErr w:type="spellStart"/>
      <w:r w:rsidRPr="00CC0ACF">
        <w:rPr>
          <w:lang w:val="en-GB"/>
        </w:rPr>
        <w:t>vol</w:t>
      </w:r>
      <w:proofErr w:type="spellEnd"/>
      <w:r w:rsidRPr="00CC0ACF">
        <w:rPr>
          <w:lang w:val="en-GB"/>
        </w:rPr>
        <w:t xml:space="preserve"> 437, No 30 (cit. </w:t>
      </w:r>
      <w:proofErr w:type="spellStart"/>
      <w:r w:rsidRPr="00CC0ACF">
        <w:rPr>
          <w:i/>
          <w:iCs/>
          <w:lang w:val="en-GB"/>
        </w:rPr>
        <w:t>Swinton</w:t>
      </w:r>
      <w:proofErr w:type="spellEnd"/>
      <w:r w:rsidRPr="00CC0ACF">
        <w:rPr>
          <w:i/>
          <w:iCs/>
          <w:lang w:val="en-GB"/>
        </w:rPr>
        <w:t xml:space="preserve"> or Ferguson v Smyth)];</w:t>
      </w:r>
      <w:r w:rsidRPr="00CC0ACF">
        <w:rPr>
          <w:lang w:val="en-GB"/>
        </w:rPr>
        <w:t>see</w:t>
      </w:r>
      <w:r w:rsidRPr="00CC0ACF">
        <w:rPr>
          <w:i/>
          <w:iCs/>
          <w:lang w:val="en-GB"/>
        </w:rPr>
        <w:t xml:space="preserve"> </w:t>
      </w:r>
      <w:proofErr w:type="spellStart"/>
      <w:r w:rsidRPr="00CC0ACF">
        <w:rPr>
          <w:i/>
          <w:iCs/>
          <w:lang w:val="en-GB"/>
        </w:rPr>
        <w:t>More’s</w:t>
      </w:r>
      <w:proofErr w:type="spellEnd"/>
      <w:r w:rsidRPr="00CC0ACF">
        <w:rPr>
          <w:i/>
          <w:iCs/>
          <w:lang w:val="en-GB"/>
        </w:rPr>
        <w:t xml:space="preserve"> Notes to Stair’s Institutions </w:t>
      </w:r>
      <w:r w:rsidRPr="00CC0ACF">
        <w:rPr>
          <w:lang w:val="en-GB"/>
        </w:rPr>
        <w:t xml:space="preserve">p </w:t>
      </w:r>
      <w:proofErr w:type="spellStart"/>
      <w:r w:rsidRPr="00CC0ACF">
        <w:rPr>
          <w:lang w:val="en-GB"/>
        </w:rPr>
        <w:t>liv</w:t>
      </w:r>
      <w:proofErr w:type="spellEnd"/>
      <w:r w:rsidRPr="00CC0ACF">
        <w:rPr>
          <w:lang w:val="en-GB"/>
        </w:rPr>
        <w:t>.</w:t>
      </w:r>
    </w:p>
  </w:footnote>
  <w:footnote w:id="5">
    <w:p w:rsidR="0017226E" w:rsidRPr="00CC0ACF" w:rsidRDefault="0017226E" w:rsidP="0017226E">
      <w:pPr>
        <w:pStyle w:val="FootnoteText"/>
      </w:pPr>
      <w:r w:rsidRPr="00CC0ACF">
        <w:rPr>
          <w:rStyle w:val="FootnoteReference"/>
          <w:rFonts w:eastAsiaTheme="majorEastAsia"/>
        </w:rPr>
        <w:footnoteRef/>
      </w:r>
      <w:r w:rsidRPr="00CC0ACF">
        <w:t xml:space="preserve"> </w:t>
      </w:r>
      <w:proofErr w:type="spellStart"/>
      <w:proofErr w:type="gramStart"/>
      <w:r w:rsidRPr="00CC0ACF">
        <w:rPr>
          <w:lang w:val="en-GB"/>
        </w:rPr>
        <w:t>Rankine</w:t>
      </w:r>
      <w:proofErr w:type="spellEnd"/>
      <w:r w:rsidRPr="00CC0ACF">
        <w:rPr>
          <w:lang w:val="en-GB"/>
        </w:rPr>
        <w:t xml:space="preserve">, </w:t>
      </w:r>
      <w:r w:rsidRPr="00CC0ACF">
        <w:rPr>
          <w:i/>
          <w:iCs/>
          <w:lang w:val="en-GB"/>
        </w:rPr>
        <w:t>Landownership</w:t>
      </w:r>
      <w:r w:rsidRPr="00CC0ACF">
        <w:rPr>
          <w:lang w:val="en-GB"/>
        </w:rPr>
        <w:t xml:space="preserve"> (4</w:t>
      </w:r>
      <w:r w:rsidRPr="00CC0ACF">
        <w:rPr>
          <w:vertAlign w:val="superscript"/>
          <w:lang w:val="en-GB"/>
        </w:rPr>
        <w:t>th</w:t>
      </w:r>
      <w:r w:rsidRPr="00CC0ACF">
        <w:rPr>
          <w:lang w:val="en-GB"/>
        </w:rPr>
        <w:t xml:space="preserve"> </w:t>
      </w:r>
      <w:proofErr w:type="spellStart"/>
      <w:r w:rsidRPr="00CC0ACF">
        <w:rPr>
          <w:lang w:val="en-GB"/>
        </w:rPr>
        <w:t>edn</w:t>
      </w:r>
      <w:proofErr w:type="spellEnd"/>
      <w:r w:rsidRPr="00CC0ACF">
        <w:rPr>
          <w:lang w:val="en-GB"/>
        </w:rPr>
        <w:t xml:space="preserve">) p 87; </w:t>
      </w:r>
      <w:proofErr w:type="spellStart"/>
      <w:r w:rsidRPr="00CC0ACF">
        <w:rPr>
          <w:lang w:val="en-GB"/>
        </w:rPr>
        <w:t>Rankine</w:t>
      </w:r>
      <w:proofErr w:type="spellEnd"/>
      <w:r w:rsidRPr="00CC0ACF">
        <w:rPr>
          <w:lang w:val="en-GB"/>
        </w:rPr>
        <w:t xml:space="preserve">, </w:t>
      </w:r>
      <w:r w:rsidRPr="00CC0ACF">
        <w:rPr>
          <w:i/>
          <w:iCs/>
          <w:lang w:val="en-GB"/>
        </w:rPr>
        <w:t>Leases</w:t>
      </w:r>
      <w:r w:rsidRPr="00CC0ACF">
        <w:rPr>
          <w:lang w:val="en-GB"/>
        </w:rPr>
        <w:t xml:space="preserve"> (3d </w:t>
      </w:r>
      <w:proofErr w:type="spellStart"/>
      <w:r w:rsidRPr="00CC0ACF">
        <w:rPr>
          <w:lang w:val="en-GB"/>
        </w:rPr>
        <w:t>edn</w:t>
      </w:r>
      <w:proofErr w:type="spellEnd"/>
      <w:r w:rsidRPr="00CC0ACF">
        <w:rPr>
          <w:lang w:val="en-GB"/>
        </w:rPr>
        <w:t>) p 260.</w:t>
      </w:r>
      <w:proofErr w:type="gramEnd"/>
    </w:p>
  </w:footnote>
  <w:footnote w:id="6">
    <w:p w:rsidR="0017226E" w:rsidRPr="00CC0ACF" w:rsidRDefault="0017226E" w:rsidP="0017226E">
      <w:pPr>
        <w:pStyle w:val="FootnoteText"/>
      </w:pPr>
      <w:r w:rsidRPr="00CC0ACF">
        <w:rPr>
          <w:rStyle w:val="FootnoteReference"/>
          <w:rFonts w:eastAsiaTheme="majorEastAsia"/>
        </w:rPr>
        <w:footnoteRef/>
      </w:r>
      <w:r w:rsidRPr="00CC0ACF">
        <w:t xml:space="preserve"> </w:t>
      </w:r>
      <w:r w:rsidRPr="00CC0ACF">
        <w:rPr>
          <w:i/>
          <w:iCs/>
          <w:lang w:val="en-GB"/>
        </w:rPr>
        <w:t>Orr v Graham</w:t>
      </w:r>
      <w:r w:rsidRPr="00CC0ACF">
        <w:rPr>
          <w:lang w:val="en-GB"/>
        </w:rPr>
        <w:t xml:space="preserve"> (1831) 10 S 135. </w:t>
      </w:r>
    </w:p>
  </w:footnote>
  <w:footnote w:id="7">
    <w:p w:rsidR="0017226E" w:rsidRPr="00CC0ACF" w:rsidRDefault="0017226E" w:rsidP="0017226E">
      <w:pPr>
        <w:pStyle w:val="FootnoteText"/>
      </w:pPr>
      <w:r w:rsidRPr="00CC0ACF">
        <w:rPr>
          <w:rStyle w:val="FootnoteReference"/>
          <w:rFonts w:eastAsiaTheme="majorEastAsia"/>
        </w:rPr>
        <w:footnoteRef/>
      </w:r>
      <w:r w:rsidRPr="00CC0ACF">
        <w:t xml:space="preserve"> </w:t>
      </w:r>
      <w:proofErr w:type="spellStart"/>
      <w:r w:rsidRPr="00CC0ACF">
        <w:rPr>
          <w:i/>
          <w:iCs/>
          <w:lang w:val="en-GB"/>
        </w:rPr>
        <w:t>Fernie</w:t>
      </w:r>
      <w:proofErr w:type="spellEnd"/>
      <w:r w:rsidRPr="00CC0ACF">
        <w:rPr>
          <w:i/>
          <w:iCs/>
          <w:lang w:val="en-GB"/>
        </w:rPr>
        <w:t xml:space="preserve"> v Robertson</w:t>
      </w:r>
      <w:r w:rsidRPr="00CC0ACF">
        <w:rPr>
          <w:lang w:val="en-GB"/>
        </w:rPr>
        <w:t xml:space="preserve"> (1871) 9 M 437.</w:t>
      </w:r>
    </w:p>
  </w:footnote>
  <w:footnote w:id="8">
    <w:p w:rsidR="0017226E" w:rsidRPr="00CC0ACF" w:rsidRDefault="0017226E" w:rsidP="0017226E">
      <w:pPr>
        <w:pStyle w:val="FootnoteText"/>
      </w:pPr>
      <w:r w:rsidRPr="00CC0ACF">
        <w:rPr>
          <w:rStyle w:val="FootnoteReference"/>
          <w:rFonts w:eastAsiaTheme="majorEastAsia"/>
        </w:rPr>
        <w:footnoteRef/>
      </w:r>
      <w:r w:rsidRPr="00CC0ACF">
        <w:t xml:space="preserve"> Ibid </w:t>
      </w:r>
      <w:r w:rsidRPr="00CC0ACF">
        <w:rPr>
          <w:lang w:val="en-GB"/>
        </w:rPr>
        <w:t>at p 442</w:t>
      </w:r>
    </w:p>
  </w:footnote>
  <w:footnote w:id="9">
    <w:p w:rsidR="0017226E" w:rsidRPr="00CC0ACF" w:rsidRDefault="0017226E" w:rsidP="0017226E">
      <w:pPr>
        <w:pStyle w:val="FootnoteText"/>
      </w:pPr>
      <w:r w:rsidRPr="00CC0ACF">
        <w:rPr>
          <w:rStyle w:val="FootnoteReference"/>
          <w:rFonts w:eastAsiaTheme="majorEastAsia"/>
        </w:rPr>
        <w:footnoteRef/>
      </w:r>
      <w:r w:rsidRPr="00CC0ACF">
        <w:t xml:space="preserve"> </w:t>
      </w:r>
      <w:r w:rsidRPr="00CC0ACF">
        <w:rPr>
          <w:i/>
          <w:iCs/>
          <w:lang w:val="en-GB"/>
        </w:rPr>
        <w:t>Buchanan v Stewart</w:t>
      </w:r>
      <w:r w:rsidRPr="00CC0ACF">
        <w:rPr>
          <w:lang w:val="en-GB"/>
        </w:rPr>
        <w:t xml:space="preserve"> (1874) 2 R 78.</w:t>
      </w:r>
    </w:p>
  </w:footnote>
  <w:footnote w:id="10">
    <w:p w:rsidR="0017226E" w:rsidRPr="00CC0ACF" w:rsidRDefault="0017226E" w:rsidP="0017226E">
      <w:pPr>
        <w:pStyle w:val="FootnoteText"/>
      </w:pPr>
      <w:r w:rsidRPr="00CC0ACF">
        <w:rPr>
          <w:rStyle w:val="FootnoteReference"/>
          <w:rFonts w:eastAsiaTheme="majorEastAsia"/>
        </w:rPr>
        <w:footnoteRef/>
      </w:r>
      <w:r w:rsidRPr="00CC0ACF">
        <w:rPr>
          <w:lang w:val="en-GB"/>
        </w:rPr>
        <w:t xml:space="preserve"> See at p 87 per Lord </w:t>
      </w:r>
      <w:proofErr w:type="spellStart"/>
      <w:r w:rsidRPr="00CC0ACF">
        <w:rPr>
          <w:lang w:val="en-GB"/>
        </w:rPr>
        <w:t>Neaves</w:t>
      </w:r>
      <w:proofErr w:type="spellEnd"/>
      <w:r w:rsidRPr="00CC0ACF">
        <w:rPr>
          <w:lang w:val="en-GB"/>
        </w:rPr>
        <w:t>.</w:t>
      </w:r>
    </w:p>
  </w:footnote>
  <w:footnote w:id="11">
    <w:p w:rsidR="0017226E" w:rsidRPr="00CC0ACF" w:rsidRDefault="0017226E" w:rsidP="0017226E">
      <w:pPr>
        <w:pStyle w:val="FootnoteText"/>
      </w:pPr>
      <w:r w:rsidRPr="00CC0ACF">
        <w:rPr>
          <w:rStyle w:val="FootnoteReference"/>
          <w:rFonts w:eastAsiaTheme="majorEastAsia"/>
        </w:rPr>
        <w:footnoteRef/>
      </w:r>
      <w:r w:rsidRPr="00CC0ACF">
        <w:rPr>
          <w:i/>
          <w:iCs/>
          <w:lang w:val="en-GB"/>
        </w:rPr>
        <w:t xml:space="preserve">Stewart v </w:t>
      </w:r>
      <w:proofErr w:type="spellStart"/>
      <w:r w:rsidRPr="00CC0ACF">
        <w:rPr>
          <w:i/>
          <w:iCs/>
          <w:lang w:val="en-GB"/>
        </w:rPr>
        <w:t>Steuart</w:t>
      </w:r>
      <w:proofErr w:type="spellEnd"/>
      <w:r w:rsidRPr="00CC0ACF">
        <w:t xml:space="preserve"> </w:t>
      </w:r>
      <w:r w:rsidRPr="00CC0ACF">
        <w:rPr>
          <w:lang w:val="en-GB"/>
        </w:rPr>
        <w:t>(1878) 6 R 145.</w:t>
      </w:r>
    </w:p>
  </w:footnote>
  <w:footnote w:id="12">
    <w:p w:rsidR="0017226E" w:rsidRDefault="0017226E" w:rsidP="0017226E">
      <w:pPr>
        <w:pStyle w:val="FootnoteText"/>
      </w:pPr>
      <w:r>
        <w:rPr>
          <w:rStyle w:val="FootnoteReference"/>
          <w:rFonts w:eastAsiaTheme="majorEastAsia"/>
        </w:rPr>
        <w:footnoteRef/>
      </w:r>
      <w:r>
        <w:t xml:space="preserve"> </w:t>
      </w:r>
      <w:r>
        <w:rPr>
          <w:lang w:val="en-GB"/>
        </w:rPr>
        <w:t xml:space="preserve"> </w:t>
      </w:r>
      <w:proofErr w:type="gramStart"/>
      <w:r>
        <w:rPr>
          <w:lang w:val="en-GB"/>
        </w:rPr>
        <w:t>(1886) 13 R 903.</w:t>
      </w:r>
      <w:proofErr w:type="gramEnd"/>
    </w:p>
  </w:footnote>
  <w:footnote w:id="13">
    <w:p w:rsidR="0017226E" w:rsidRDefault="0017226E" w:rsidP="0017226E">
      <w:pPr>
        <w:pStyle w:val="FootnoteText"/>
      </w:pPr>
      <w:r>
        <w:rPr>
          <w:rStyle w:val="FootnoteReference"/>
          <w:rFonts w:eastAsiaTheme="majorEastAsia"/>
        </w:rPr>
        <w:footnoteRef/>
      </w:r>
      <w:r>
        <w:t xml:space="preserve"> </w:t>
      </w:r>
      <w:proofErr w:type="gramStart"/>
      <w:r>
        <w:rPr>
          <w:lang w:val="en-GB"/>
        </w:rPr>
        <w:t>1998 SC 725; 1998 SLT 976 at p 980.</w:t>
      </w:r>
      <w:proofErr w:type="gramEnd"/>
      <w:r>
        <w:rPr>
          <w:lang w:val="en-GB"/>
        </w:rPr>
        <w:t xml:space="preserve"> </w:t>
      </w:r>
    </w:p>
  </w:footnote>
  <w:footnote w:id="14">
    <w:p w:rsidR="0017226E" w:rsidRPr="00CC0ACF" w:rsidRDefault="0017226E" w:rsidP="0017226E">
      <w:pPr>
        <w:pStyle w:val="FootnoteText"/>
      </w:pPr>
      <w:r>
        <w:rPr>
          <w:rStyle w:val="FootnoteReference"/>
          <w:rFonts w:eastAsiaTheme="majorEastAsia"/>
        </w:rPr>
        <w:footnoteRef/>
      </w:r>
      <w:r>
        <w:t xml:space="preserve"> </w:t>
      </w:r>
      <w:proofErr w:type="spellStart"/>
      <w:proofErr w:type="gramStart"/>
      <w:r>
        <w:rPr>
          <w:i/>
          <w:iCs/>
          <w:lang w:val="en-GB"/>
        </w:rPr>
        <w:t>Fernie</w:t>
      </w:r>
      <w:proofErr w:type="spellEnd"/>
      <w:r>
        <w:rPr>
          <w:i/>
          <w:iCs/>
          <w:lang w:val="en-GB"/>
        </w:rPr>
        <w:t xml:space="preserve"> v Robertson</w:t>
      </w:r>
      <w:r>
        <w:rPr>
          <w:lang w:val="en-GB"/>
        </w:rPr>
        <w:t xml:space="preserve">; </w:t>
      </w:r>
      <w:r>
        <w:rPr>
          <w:i/>
          <w:iCs/>
          <w:lang w:val="en-GB"/>
        </w:rPr>
        <w:t>Buchanan v Stewart</w:t>
      </w:r>
      <w:r>
        <w:rPr>
          <w:lang w:val="en-GB"/>
        </w:rPr>
        <w:t xml:space="preserve">; </w:t>
      </w:r>
      <w:r>
        <w:rPr>
          <w:i/>
          <w:iCs/>
          <w:lang w:val="en-GB"/>
        </w:rPr>
        <w:t>Rankin v Wither</w:t>
      </w:r>
      <w:r>
        <w:rPr>
          <w:lang w:val="en-GB"/>
        </w:rPr>
        <w:t xml:space="preserve"> and </w:t>
      </w:r>
      <w:smartTag w:uri="urn:schemas-microsoft-com:office:smarttags" w:element="City">
        <w:r>
          <w:rPr>
            <w:i/>
            <w:iCs/>
            <w:lang w:val="en-GB"/>
          </w:rPr>
          <w:t>Newton</w:t>
        </w:r>
      </w:smartTag>
      <w:r>
        <w:rPr>
          <w:i/>
          <w:iCs/>
          <w:lang w:val="en-GB"/>
        </w:rPr>
        <w:t xml:space="preserve"> v </w:t>
      </w:r>
      <w:smartTag w:uri="urn:schemas-microsoft-com:office:smarttags" w:element="place">
        <w:smartTag w:uri="urn:schemas-microsoft-com:office:smarttags" w:element="City">
          <w:r>
            <w:rPr>
              <w:i/>
              <w:iCs/>
              <w:lang w:val="en-GB"/>
            </w:rPr>
            <w:t>Newton</w:t>
          </w:r>
        </w:smartTag>
      </w:smartTag>
      <w:r>
        <w:rPr>
          <w:lang w:val="en-GB"/>
        </w:rPr>
        <w:t xml:space="preserve"> 1925 SC 715; 1925 SLT 476</w:t>
      </w:r>
      <w:r w:rsidRPr="00CC0ACF">
        <w:rPr>
          <w:lang w:val="en-GB"/>
        </w:rPr>
        <w:t>.</w:t>
      </w:r>
      <w:proofErr w:type="gramEnd"/>
    </w:p>
  </w:footnote>
  <w:footnote w:id="15">
    <w:p w:rsidR="0017226E" w:rsidRPr="00CC0ACF" w:rsidRDefault="0017226E" w:rsidP="0017226E">
      <w:pPr>
        <w:pStyle w:val="FootnoteText"/>
      </w:pPr>
      <w:r w:rsidRPr="00CC0ACF">
        <w:rPr>
          <w:rStyle w:val="FootnoteReference"/>
          <w:rFonts w:eastAsiaTheme="majorEastAsia"/>
        </w:rPr>
        <w:footnoteRef/>
      </w:r>
      <w:r w:rsidRPr="00CC0ACF">
        <w:t xml:space="preserve"> </w:t>
      </w:r>
      <w:proofErr w:type="gramStart"/>
      <w:r w:rsidRPr="00CC0ACF">
        <w:rPr>
          <w:lang w:val="en-GB"/>
        </w:rPr>
        <w:t xml:space="preserve">Hume, </w:t>
      </w:r>
      <w:r w:rsidRPr="00CC0ACF">
        <w:rPr>
          <w:i/>
          <w:iCs/>
          <w:lang w:val="en-GB"/>
        </w:rPr>
        <w:t>Lectures</w:t>
      </w:r>
      <w:r w:rsidRPr="00CC0ACF">
        <w:rPr>
          <w:lang w:val="en-GB"/>
        </w:rPr>
        <w:t xml:space="preserve"> </w:t>
      </w:r>
      <w:proofErr w:type="spellStart"/>
      <w:r w:rsidRPr="00CC0ACF">
        <w:rPr>
          <w:lang w:val="en-GB"/>
        </w:rPr>
        <w:t>vol</w:t>
      </w:r>
      <w:proofErr w:type="spellEnd"/>
      <w:r w:rsidRPr="00CC0ACF">
        <w:rPr>
          <w:lang w:val="en-GB"/>
        </w:rPr>
        <w:t xml:space="preserve"> III, p 166.</w:t>
      </w:r>
      <w:proofErr w:type="gramEnd"/>
    </w:p>
  </w:footnote>
  <w:footnote w:id="16">
    <w:p w:rsidR="0017226E" w:rsidRPr="00CC0ACF" w:rsidRDefault="0017226E" w:rsidP="0017226E">
      <w:pPr>
        <w:pStyle w:val="FootnoteText"/>
      </w:pPr>
      <w:r w:rsidRPr="00CC0ACF">
        <w:rPr>
          <w:rStyle w:val="FootnoteReference"/>
          <w:rFonts w:eastAsiaTheme="majorEastAsia"/>
        </w:rPr>
        <w:footnoteRef/>
      </w:r>
      <w:r w:rsidRPr="00CC0ACF">
        <w:t xml:space="preserve"> </w:t>
      </w:r>
      <w:r w:rsidRPr="00CC0ACF">
        <w:rPr>
          <w:i/>
          <w:iCs/>
          <w:lang w:val="en-GB"/>
        </w:rPr>
        <w:t>Edinburgh &amp; District Tramways Co v Courtenay</w:t>
      </w:r>
      <w:r w:rsidRPr="00CC0ACF">
        <w:rPr>
          <w:lang w:val="en-GB"/>
        </w:rPr>
        <w:t xml:space="preserve"> 1909 SC 99;</w:t>
      </w:r>
    </w:p>
  </w:footnote>
  <w:footnote w:id="17">
    <w:p w:rsidR="0017226E" w:rsidRPr="00CC0ACF" w:rsidRDefault="0017226E" w:rsidP="0017226E">
      <w:pPr>
        <w:pStyle w:val="FootnoteText"/>
        <w:rPr>
          <w:lang w:val="en-GB"/>
        </w:rPr>
      </w:pPr>
      <w:r w:rsidRPr="00CC0ACF">
        <w:rPr>
          <w:rStyle w:val="FootnoteReference"/>
        </w:rPr>
        <w:footnoteRef/>
      </w:r>
      <w:r w:rsidRPr="00CC0ACF">
        <w:t xml:space="preserve"> </w:t>
      </w:r>
      <w:proofErr w:type="gramStart"/>
      <w:r w:rsidRPr="00CC0ACF">
        <w:rPr>
          <w:lang w:val="en-GB"/>
        </w:rPr>
        <w:t>At 105.</w:t>
      </w:r>
      <w:proofErr w:type="gramEnd"/>
    </w:p>
  </w:footnote>
  <w:footnote w:id="18">
    <w:p w:rsidR="0017226E" w:rsidRDefault="0017226E" w:rsidP="0017226E">
      <w:pPr>
        <w:pStyle w:val="FootnoteText"/>
      </w:pPr>
      <w:r w:rsidRPr="00CC0ACF">
        <w:rPr>
          <w:rStyle w:val="FootnoteReference"/>
          <w:rFonts w:eastAsiaTheme="majorEastAsia"/>
        </w:rPr>
        <w:footnoteRef/>
      </w:r>
      <w:r>
        <w:t xml:space="preserve"> </w:t>
      </w:r>
      <w:proofErr w:type="gramStart"/>
      <w:r w:rsidRPr="000428D8">
        <w:rPr>
          <w:i/>
          <w:iCs/>
          <w:sz w:val="24"/>
          <w:szCs w:val="24"/>
          <w:lang w:val="en-GB"/>
        </w:rPr>
        <w:t xml:space="preserve">Exchange Telegraph Co Ltd v </w:t>
      </w:r>
      <w:proofErr w:type="spellStart"/>
      <w:r w:rsidRPr="000428D8">
        <w:rPr>
          <w:i/>
          <w:iCs/>
          <w:sz w:val="24"/>
          <w:szCs w:val="24"/>
          <w:lang w:val="en-GB"/>
        </w:rPr>
        <w:t>Giulianotti</w:t>
      </w:r>
      <w:proofErr w:type="spellEnd"/>
      <w:r w:rsidRPr="00CC0ACF">
        <w:t xml:space="preserve"> </w:t>
      </w:r>
      <w:r w:rsidRPr="00CC0ACF">
        <w:rPr>
          <w:lang w:val="en-GB"/>
        </w:rPr>
        <w:t>1959 SC 19 (O</w:t>
      </w:r>
      <w:r>
        <w:rPr>
          <w:lang w:val="en-GB"/>
        </w:rPr>
        <w:t>H) at p 26; 1959 SLT 293(OH) at p 296.</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rsids>
    <w:rsidRoot w:val="00233A58"/>
    <w:rsid w:val="0017226E"/>
    <w:rsid w:val="00212D2D"/>
    <w:rsid w:val="00233A58"/>
    <w:rsid w:val="00323871"/>
    <w:rsid w:val="00600C07"/>
    <w:rsid w:val="006C192B"/>
    <w:rsid w:val="006C2C3E"/>
    <w:rsid w:val="00C86EE3"/>
    <w:rsid w:val="00C90B20"/>
    <w:rsid w:val="00DE2C01"/>
    <w:rsid w:val="00EA11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233A58"/>
    <w:rPr>
      <w:vertAlign w:val="superscript"/>
    </w:rPr>
  </w:style>
  <w:style w:type="paragraph" w:styleId="FootnoteText">
    <w:name w:val="footnote text"/>
    <w:basedOn w:val="Normal"/>
    <w:link w:val="FootnoteTextChar"/>
    <w:rsid w:val="00233A58"/>
    <w:pPr>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0"/>
      <w:szCs w:val="20"/>
      <w:lang w:val="en-US"/>
    </w:rPr>
  </w:style>
  <w:style w:type="character" w:customStyle="1" w:styleId="FootnoteTextChar">
    <w:name w:val="Footnote Text Char"/>
    <w:basedOn w:val="DefaultParagraphFont"/>
    <w:link w:val="FootnoteText"/>
    <w:rsid w:val="00233A58"/>
    <w:rPr>
      <w:rFonts w:ascii="Times New Roman" w:eastAsia="Times New Roman" w:hAnsi="Times New Roman" w:cs="Times New Roman"/>
      <w:spacing w:val="-3"/>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Whitty</dc:creator>
  <cp:lastModifiedBy>Niall Whitty</cp:lastModifiedBy>
  <cp:revision>3</cp:revision>
  <dcterms:created xsi:type="dcterms:W3CDTF">2013-11-15T15:24:00Z</dcterms:created>
  <dcterms:modified xsi:type="dcterms:W3CDTF">2013-11-15T16:30:00Z</dcterms:modified>
</cp:coreProperties>
</file>