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7486" w:rsidRPr="0025402B" w:rsidRDefault="009D7486" w:rsidP="009D7486">
      <w:pPr>
        <w:pStyle w:val="NoSpacing"/>
        <w:rPr>
          <w:rFonts w:ascii="Myriad Pro" w:hAnsi="Myriad Pro" w:cstheme="minorHAnsi"/>
          <w:b/>
          <w:sz w:val="24"/>
          <w:szCs w:val="24"/>
        </w:rPr>
      </w:pPr>
      <w:r>
        <w:rPr>
          <w:rFonts w:ascii="Myriad Pro" w:hAnsi="Myriad Pro" w:cstheme="minorHAnsi"/>
          <w:b/>
          <w:noProof/>
          <w:sz w:val="24"/>
          <w:szCs w:val="24"/>
          <w:lang w:eastAsia="en-GB"/>
        </w:rPr>
        <w:drawing>
          <wp:anchor distT="0" distB="0" distL="114300" distR="114300" simplePos="0" relativeHeight="251659264" behindDoc="0" locked="0" layoutInCell="1" allowOverlap="1" wp14:anchorId="4EA0E5FD" wp14:editId="0DA3F294">
            <wp:simplePos x="0" y="0"/>
            <wp:positionH relativeFrom="column">
              <wp:posOffset>38100</wp:posOffset>
            </wp:positionH>
            <wp:positionV relativeFrom="paragraph">
              <wp:posOffset>39370</wp:posOffset>
            </wp:positionV>
            <wp:extent cx="1494000" cy="2160000"/>
            <wp:effectExtent l="38100" t="38100" r="87630" b="8826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9781849467247.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494000" cy="2160000"/>
                    </a:xfrm>
                    <a:prstGeom prst="rect">
                      <a:avLst/>
                    </a:prstGeom>
                    <a:effectLst>
                      <a:outerShdw blurRad="50800" dist="38100" dir="2700000" algn="tl" rotWithShape="0">
                        <a:prstClr val="black">
                          <a:alpha val="40000"/>
                        </a:prstClr>
                      </a:outerShdw>
                    </a:effectLst>
                  </pic:spPr>
                </pic:pic>
              </a:graphicData>
            </a:graphic>
            <wp14:sizeRelH relativeFrom="page">
              <wp14:pctWidth>0</wp14:pctWidth>
            </wp14:sizeRelH>
            <wp14:sizeRelV relativeFrom="page">
              <wp14:pctHeight>0</wp14:pctHeight>
            </wp14:sizeRelV>
          </wp:anchor>
        </w:drawing>
      </w:r>
      <w:r w:rsidRPr="0068138C">
        <w:rPr>
          <w:rFonts w:ascii="Myriad Pro" w:hAnsi="Myriad Pro" w:cstheme="minorHAnsi"/>
          <w:b/>
          <w:noProof/>
          <w:sz w:val="24"/>
          <w:szCs w:val="24"/>
        </w:rPr>
        <w:t>Defences in Equity</w:t>
      </w:r>
    </w:p>
    <w:p w:rsidR="009D7486" w:rsidRPr="0025402B" w:rsidRDefault="009D7486" w:rsidP="009D7486">
      <w:pPr>
        <w:pStyle w:val="NoSpacing"/>
        <w:rPr>
          <w:rFonts w:ascii="Myriad Pro" w:hAnsi="Myriad Pro" w:cstheme="minorHAnsi"/>
          <w:i/>
          <w:sz w:val="24"/>
          <w:szCs w:val="24"/>
        </w:rPr>
      </w:pPr>
      <w:r w:rsidRPr="0025402B">
        <w:rPr>
          <w:rFonts w:ascii="Myriad Pro" w:hAnsi="Myriad Pro" w:cstheme="minorHAnsi"/>
          <w:i/>
          <w:sz w:val="24"/>
          <w:szCs w:val="24"/>
        </w:rPr>
        <w:t xml:space="preserve">Edited by </w:t>
      </w:r>
      <w:r w:rsidRPr="0068138C">
        <w:rPr>
          <w:rFonts w:ascii="Myriad Pro" w:hAnsi="Myriad Pro" w:cstheme="minorHAnsi"/>
          <w:i/>
          <w:noProof/>
          <w:sz w:val="24"/>
          <w:szCs w:val="24"/>
        </w:rPr>
        <w:t>Paul S Davies, Simon Douglas and James Goudkamp</w:t>
      </w:r>
    </w:p>
    <w:p w:rsidR="009D7486" w:rsidRDefault="009D7486" w:rsidP="009D7486">
      <w:pPr>
        <w:pStyle w:val="NoSpacing"/>
        <w:rPr>
          <w:rFonts w:ascii="Myriad Pro" w:hAnsi="Myriad Pro" w:cstheme="minorHAnsi"/>
          <w:sz w:val="16"/>
          <w:szCs w:val="16"/>
        </w:rPr>
      </w:pPr>
    </w:p>
    <w:p w:rsidR="009D7486" w:rsidRPr="00D41DF1" w:rsidRDefault="009D7486" w:rsidP="009D7486">
      <w:pPr>
        <w:pStyle w:val="NoSpacing"/>
        <w:rPr>
          <w:rFonts w:ascii="Myriad Pro" w:hAnsi="Myriad Pro" w:cstheme="minorHAnsi"/>
          <w:sz w:val="20"/>
          <w:szCs w:val="16"/>
        </w:rPr>
      </w:pPr>
      <w:r w:rsidRPr="00D41DF1">
        <w:rPr>
          <w:rFonts w:ascii="Myriad Pro" w:hAnsi="Myriad Pro" w:cstheme="minorHAnsi"/>
          <w:noProof/>
          <w:sz w:val="20"/>
          <w:szCs w:val="16"/>
        </w:rPr>
        <w:t>This book is the fourth in a series of essay collections on defences in private law. It addresses defences to liability arising in equity. The essays range from those adopting a mainly doctrinal perspective to others that explore the law from a more philosophical perspective. Some essays concentrate on specific defences, while others are concerned with the links between defences, or with how defences relate to the structure of the law of equity generally. One aim of the book is to shed light on equitable doctrines by analysing them through the lens of defences. The essays offer original contributions to this complex, important but neglected field of scholarly investigation. The contributors – judges, practitioners and academics – are all distinguished jurists. The essays are addressed to all of the major common law jurisdictions.</w:t>
      </w:r>
    </w:p>
    <w:p w:rsidR="009D7486" w:rsidRPr="00D41DF1" w:rsidRDefault="009D7486" w:rsidP="009D7486">
      <w:pPr>
        <w:pStyle w:val="NoSpacing"/>
        <w:rPr>
          <w:rFonts w:ascii="Myriad Pro" w:hAnsi="Myriad Pro" w:cstheme="minorHAnsi"/>
          <w:sz w:val="20"/>
          <w:szCs w:val="16"/>
        </w:rPr>
      </w:pPr>
    </w:p>
    <w:p w:rsidR="009D7486" w:rsidRPr="00D41DF1" w:rsidRDefault="009D7486" w:rsidP="009D7486">
      <w:pPr>
        <w:pStyle w:val="NoSpacing"/>
        <w:rPr>
          <w:rFonts w:ascii="Myriad Pro" w:hAnsi="Myriad Pro" w:cstheme="minorHAnsi"/>
          <w:i/>
          <w:noProof/>
          <w:sz w:val="20"/>
          <w:szCs w:val="16"/>
        </w:rPr>
      </w:pPr>
      <w:r w:rsidRPr="00D41DF1">
        <w:rPr>
          <w:rFonts w:ascii="Myriad Pro" w:hAnsi="Myriad Pro" w:cstheme="minorHAnsi"/>
          <w:b/>
          <w:i/>
          <w:noProof/>
          <w:sz w:val="20"/>
          <w:szCs w:val="16"/>
        </w:rPr>
        <w:t>Paul S Davies</w:t>
      </w:r>
      <w:r w:rsidRPr="00D41DF1">
        <w:rPr>
          <w:rFonts w:ascii="Myriad Pro" w:hAnsi="Myriad Pro" w:cstheme="minorHAnsi"/>
          <w:i/>
          <w:noProof/>
          <w:sz w:val="20"/>
          <w:szCs w:val="16"/>
        </w:rPr>
        <w:t xml:space="preserve"> is Professor of Commercial Law at University College London. </w:t>
      </w:r>
    </w:p>
    <w:p w:rsidR="009D7486" w:rsidRPr="00D41DF1" w:rsidRDefault="009D7486" w:rsidP="009D7486">
      <w:pPr>
        <w:pStyle w:val="NoSpacing"/>
        <w:rPr>
          <w:rFonts w:ascii="Myriad Pro" w:hAnsi="Myriad Pro" w:cstheme="minorHAnsi"/>
          <w:i/>
          <w:noProof/>
          <w:sz w:val="20"/>
          <w:szCs w:val="16"/>
        </w:rPr>
      </w:pPr>
      <w:r w:rsidRPr="00D41DF1">
        <w:rPr>
          <w:rFonts w:ascii="Myriad Pro" w:hAnsi="Myriad Pro" w:cstheme="minorHAnsi"/>
          <w:b/>
          <w:i/>
          <w:noProof/>
          <w:sz w:val="20"/>
          <w:szCs w:val="16"/>
        </w:rPr>
        <w:t>Simon Douglas</w:t>
      </w:r>
      <w:r w:rsidRPr="00D41DF1">
        <w:rPr>
          <w:rFonts w:ascii="Myriad Pro" w:hAnsi="Myriad Pro" w:cstheme="minorHAnsi"/>
          <w:i/>
          <w:noProof/>
          <w:sz w:val="20"/>
          <w:szCs w:val="16"/>
        </w:rPr>
        <w:t xml:space="preserve"> is an Associate Professor of Law at the University of Oxford and a Fellow of Jesus College, Oxford.</w:t>
      </w:r>
    </w:p>
    <w:p w:rsidR="009D7486" w:rsidRPr="00D41DF1" w:rsidRDefault="009D7486" w:rsidP="009D7486">
      <w:pPr>
        <w:pStyle w:val="NoSpacing"/>
        <w:rPr>
          <w:rFonts w:ascii="Myriad Pro" w:hAnsi="Myriad Pro" w:cstheme="minorHAnsi"/>
          <w:i/>
          <w:sz w:val="20"/>
          <w:szCs w:val="16"/>
        </w:rPr>
      </w:pPr>
      <w:r w:rsidRPr="00D41DF1">
        <w:rPr>
          <w:rFonts w:ascii="Myriad Pro" w:hAnsi="Myriad Pro" w:cstheme="minorHAnsi"/>
          <w:b/>
          <w:i/>
          <w:noProof/>
          <w:sz w:val="20"/>
          <w:szCs w:val="16"/>
        </w:rPr>
        <w:t>James Goudkamp</w:t>
      </w:r>
      <w:r w:rsidRPr="00D41DF1">
        <w:rPr>
          <w:rFonts w:ascii="Myriad Pro" w:hAnsi="Myriad Pro" w:cstheme="minorHAnsi"/>
          <w:i/>
          <w:noProof/>
          <w:sz w:val="20"/>
          <w:szCs w:val="16"/>
        </w:rPr>
        <w:t xml:space="preserve"> is Professor of the Law of Obligations at the University of Oxford, a Fellow of Keble College, Oxford, and a barrister at 7 King’s Bench Walk.</w:t>
      </w:r>
    </w:p>
    <w:p w:rsidR="009D7486" w:rsidRPr="00D41DF1" w:rsidRDefault="009D7486" w:rsidP="009D7486">
      <w:pPr>
        <w:pStyle w:val="NoSpacing"/>
        <w:rPr>
          <w:rFonts w:ascii="Myriad Pro" w:hAnsi="Myriad Pro" w:cstheme="minorHAnsi"/>
          <w:sz w:val="20"/>
          <w:szCs w:val="16"/>
        </w:rPr>
      </w:pPr>
    </w:p>
    <w:p w:rsidR="009D7486" w:rsidRPr="00D41DF1" w:rsidRDefault="009D7486" w:rsidP="009D7486">
      <w:pPr>
        <w:pStyle w:val="NoSpacing"/>
        <w:rPr>
          <w:rFonts w:ascii="Myriad Pro" w:hAnsi="Myriad Pro" w:cstheme="minorHAnsi"/>
          <w:sz w:val="20"/>
          <w:szCs w:val="16"/>
        </w:rPr>
      </w:pPr>
      <w:r>
        <w:rPr>
          <w:rFonts w:ascii="Myriad Pro" w:hAnsi="Myriad Pro" w:cstheme="minorHAnsi"/>
          <w:noProof/>
          <w:sz w:val="20"/>
          <w:szCs w:val="16"/>
        </w:rPr>
        <w:t xml:space="preserve">May </w:t>
      </w:r>
      <w:r w:rsidRPr="00D41DF1">
        <w:rPr>
          <w:rFonts w:ascii="Myriad Pro" w:hAnsi="Myriad Pro" w:cstheme="minorHAnsi"/>
          <w:noProof/>
          <w:sz w:val="20"/>
          <w:szCs w:val="16"/>
        </w:rPr>
        <w:t>2018</w:t>
      </w:r>
      <w:r w:rsidRPr="00D41DF1">
        <w:rPr>
          <w:rFonts w:ascii="Myriad Pro" w:hAnsi="Myriad Pro" w:cstheme="minorHAnsi"/>
          <w:sz w:val="20"/>
          <w:szCs w:val="16"/>
        </w:rPr>
        <w:t xml:space="preserve">   |   </w:t>
      </w:r>
      <w:r w:rsidRPr="00D41DF1">
        <w:rPr>
          <w:rFonts w:ascii="Myriad Pro" w:hAnsi="Myriad Pro" w:cstheme="minorHAnsi"/>
          <w:noProof/>
          <w:sz w:val="20"/>
          <w:szCs w:val="16"/>
        </w:rPr>
        <w:t>9781849467247</w:t>
      </w:r>
      <w:r w:rsidRPr="00D41DF1">
        <w:rPr>
          <w:rFonts w:ascii="Myriad Pro" w:hAnsi="Myriad Pro" w:cstheme="minorHAnsi"/>
          <w:sz w:val="20"/>
          <w:szCs w:val="16"/>
        </w:rPr>
        <w:t xml:space="preserve">   |   </w:t>
      </w:r>
      <w:r w:rsidRPr="00D41DF1">
        <w:rPr>
          <w:rFonts w:ascii="Myriad Pro" w:hAnsi="Myriad Pro" w:cstheme="minorHAnsi"/>
          <w:noProof/>
          <w:sz w:val="20"/>
          <w:szCs w:val="16"/>
        </w:rPr>
        <w:t>392</w:t>
      </w:r>
      <w:r w:rsidRPr="00D41DF1">
        <w:rPr>
          <w:rFonts w:ascii="Myriad Pro" w:hAnsi="Myriad Pro" w:cstheme="minorHAnsi"/>
          <w:sz w:val="20"/>
          <w:szCs w:val="16"/>
        </w:rPr>
        <w:t xml:space="preserve">pp   |   </w:t>
      </w:r>
      <w:r w:rsidRPr="00D41DF1">
        <w:rPr>
          <w:rFonts w:ascii="Myriad Pro" w:hAnsi="Myriad Pro" w:cstheme="minorHAnsi"/>
          <w:noProof/>
          <w:sz w:val="20"/>
          <w:szCs w:val="16"/>
        </w:rPr>
        <w:t>Hardback</w:t>
      </w:r>
      <w:r w:rsidRPr="00D41DF1">
        <w:rPr>
          <w:rFonts w:ascii="Myriad Pro" w:hAnsi="Myriad Pro" w:cstheme="minorHAnsi"/>
          <w:sz w:val="20"/>
          <w:szCs w:val="16"/>
        </w:rPr>
        <w:t xml:space="preserve">   |    RSP: </w:t>
      </w:r>
      <w:r w:rsidRPr="00D41DF1">
        <w:rPr>
          <w:rFonts w:ascii="Myriad Pro" w:hAnsi="Myriad Pro" w:cstheme="minorHAnsi"/>
          <w:strike/>
          <w:sz w:val="20"/>
          <w:szCs w:val="16"/>
        </w:rPr>
        <w:t>£</w:t>
      </w:r>
      <w:r w:rsidRPr="00D41DF1">
        <w:rPr>
          <w:rFonts w:ascii="Myriad Pro" w:hAnsi="Myriad Pro" w:cstheme="minorHAnsi"/>
          <w:strike/>
          <w:noProof/>
          <w:sz w:val="20"/>
          <w:szCs w:val="16"/>
        </w:rPr>
        <w:t>85</w:t>
      </w:r>
      <w:r w:rsidRPr="00D41DF1">
        <w:rPr>
          <w:rFonts w:ascii="Myriad Pro" w:hAnsi="Myriad Pro" w:cstheme="minorHAnsi"/>
          <w:sz w:val="20"/>
          <w:szCs w:val="16"/>
        </w:rPr>
        <w:t xml:space="preserve">   </w:t>
      </w:r>
    </w:p>
    <w:p w:rsidR="009D7486" w:rsidRPr="00D41DF1" w:rsidRDefault="009D7486" w:rsidP="009D7486">
      <w:pPr>
        <w:pStyle w:val="NoSpacing"/>
        <w:rPr>
          <w:rFonts w:ascii="Myriad Pro" w:hAnsi="Myriad Pro" w:cstheme="minorHAnsi"/>
          <w:b/>
          <w:color w:val="008080"/>
          <w:sz w:val="20"/>
          <w:szCs w:val="16"/>
        </w:rPr>
      </w:pPr>
      <w:r w:rsidRPr="00D41DF1">
        <w:rPr>
          <w:rFonts w:ascii="Myriad Pro" w:hAnsi="Myriad Pro" w:cstheme="minorHAnsi"/>
          <w:b/>
          <w:color w:val="008080"/>
          <w:sz w:val="20"/>
          <w:szCs w:val="16"/>
        </w:rPr>
        <w:t>Discount Price: £</w:t>
      </w:r>
      <w:r w:rsidRPr="00D41DF1">
        <w:rPr>
          <w:rFonts w:ascii="Myriad Pro" w:hAnsi="Myriad Pro" w:cstheme="minorHAnsi"/>
          <w:b/>
          <w:noProof/>
          <w:color w:val="008080"/>
          <w:sz w:val="20"/>
          <w:szCs w:val="16"/>
        </w:rPr>
        <w:t>68</w:t>
      </w:r>
    </w:p>
    <w:p w:rsidR="009D7486" w:rsidRDefault="009D7486" w:rsidP="009D7486">
      <w:pPr>
        <w:rPr>
          <w:rFonts w:ascii="Cambria" w:hAnsi="Cambria" w:cstheme="minorHAnsi"/>
          <w:sz w:val="24"/>
          <w:szCs w:val="30"/>
        </w:rPr>
      </w:pPr>
    </w:p>
    <w:p w:rsidR="009D7486" w:rsidRPr="00D41DF1" w:rsidRDefault="009D7486" w:rsidP="009D7486">
      <w:pPr>
        <w:pStyle w:val="NoSpacing"/>
        <w:rPr>
          <w:rFonts w:ascii="Myriad Pro" w:hAnsi="Myriad Pro"/>
          <w:b/>
          <w:color w:val="008080"/>
          <w:szCs w:val="20"/>
        </w:rPr>
      </w:pPr>
      <w:r w:rsidRPr="00D41DF1">
        <w:rPr>
          <w:rFonts w:ascii="Myriad Pro" w:hAnsi="Myriad Pro"/>
          <w:b/>
          <w:color w:val="008080"/>
          <w:szCs w:val="20"/>
        </w:rPr>
        <w:t xml:space="preserve">Order online at </w:t>
      </w:r>
      <w:hyperlink r:id="rId5" w:history="1">
        <w:r w:rsidRPr="00D41DF1">
          <w:rPr>
            <w:rStyle w:val="Hyperlink"/>
            <w:rFonts w:ascii="Myriad Pro" w:hAnsi="Myriad Pro" w:cstheme="minorHAnsi"/>
            <w:b/>
            <w:color w:val="008080"/>
            <w:szCs w:val="20"/>
          </w:rPr>
          <w:t>www.hartpublishing.co.uk</w:t>
        </w:r>
      </w:hyperlink>
      <w:r w:rsidR="00CF5C5D">
        <w:rPr>
          <w:rFonts w:ascii="Myriad Pro" w:hAnsi="Myriad Pro"/>
          <w:b/>
          <w:color w:val="008080"/>
          <w:szCs w:val="20"/>
        </w:rPr>
        <w:t xml:space="preserve"> – use the code R</w:t>
      </w:r>
      <w:bookmarkStart w:id="0" w:name="_GoBack"/>
      <w:bookmarkEnd w:id="0"/>
      <w:r>
        <w:rPr>
          <w:rFonts w:ascii="Myriad Pro" w:hAnsi="Myriad Pro"/>
          <w:b/>
          <w:color w:val="008080"/>
          <w:szCs w:val="20"/>
        </w:rPr>
        <w:t>DG</w:t>
      </w:r>
      <w:r w:rsidRPr="00D41DF1">
        <w:rPr>
          <w:rFonts w:ascii="Myriad Pro" w:hAnsi="Myriad Pro"/>
          <w:b/>
          <w:color w:val="008080"/>
          <w:szCs w:val="20"/>
        </w:rPr>
        <w:t xml:space="preserve"> at the checkout to get 20% off your order!</w:t>
      </w:r>
    </w:p>
    <w:p w:rsidR="00144974" w:rsidRDefault="00144974"/>
    <w:sectPr w:rsidR="0014497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yriad Pro">
    <w:panose1 w:val="020B0503030403020204"/>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7486"/>
    <w:rsid w:val="00144974"/>
    <w:rsid w:val="009D7486"/>
    <w:rsid w:val="00CF5C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9A98E0-8781-4398-A48D-FC47CF03F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748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D7486"/>
    <w:pPr>
      <w:spacing w:after="0" w:line="240" w:lineRule="auto"/>
    </w:pPr>
  </w:style>
  <w:style w:type="character" w:styleId="Hyperlink">
    <w:name w:val="Hyperlink"/>
    <w:basedOn w:val="DefaultParagraphFont"/>
    <w:uiPriority w:val="99"/>
    <w:unhideWhenUsed/>
    <w:rsid w:val="009D748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hartpublishing.co.uk"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226</Words>
  <Characters>1293</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Swinden</dc:creator>
  <cp:keywords/>
  <dc:description/>
  <cp:lastModifiedBy>Emma Swinden</cp:lastModifiedBy>
  <cp:revision>2</cp:revision>
  <dcterms:created xsi:type="dcterms:W3CDTF">2018-05-04T09:33:00Z</dcterms:created>
  <dcterms:modified xsi:type="dcterms:W3CDTF">2018-05-04T09:33:00Z</dcterms:modified>
</cp:coreProperties>
</file>